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22E16D">
      <w:pPr>
        <w:spacing w:line="540" w:lineRule="exact"/>
        <w:rPr>
          <w:rFonts w:eastAsia="黑体" w:cs="Times New Roman"/>
          <w:color w:val="auto"/>
        </w:rPr>
      </w:pPr>
      <w:r>
        <w:rPr>
          <w:rFonts w:eastAsia="黑体" w:cs="Times New Roman"/>
          <w:color w:val="auto"/>
        </w:rPr>
        <mc:AlternateContent>
          <mc:Choice Requires="wps">
            <w:drawing>
              <wp:anchor distT="0" distB="0" distL="114300" distR="114300" simplePos="0" relativeHeight="251659264" behindDoc="0" locked="0" layoutInCell="1" allowOverlap="1">
                <wp:simplePos x="0" y="0"/>
                <wp:positionH relativeFrom="column">
                  <wp:posOffset>258445</wp:posOffset>
                </wp:positionH>
                <wp:positionV relativeFrom="paragraph">
                  <wp:posOffset>-370205</wp:posOffset>
                </wp:positionV>
                <wp:extent cx="5172075" cy="752475"/>
                <wp:effectExtent l="0" t="0" r="0" b="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172075" cy="752475"/>
                        </a:xfrm>
                        <a:prstGeom prst="rect">
                          <a:avLst/>
                        </a:prstGeom>
                        <a:solidFill>
                          <a:srgbClr val="FFFFFF"/>
                        </a:solidFill>
                        <a:ln>
                          <a:noFill/>
                        </a:ln>
                      </wps:spPr>
                      <wps:txbx>
                        <w:txbxContent>
                          <w:p w14:paraId="6B10DF44">
                            <w:r>
                              <w:drawing>
                                <wp:inline distT="0" distB="0" distL="0" distR="0">
                                  <wp:extent cx="4932045" cy="6610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32045" cy="661035"/>
                                          </a:xfrm>
                                          <a:prstGeom prst="rect">
                                            <a:avLst/>
                                          </a:prstGeom>
                                          <a:noFill/>
                                          <a:ln>
                                            <a:noFill/>
                                          </a:ln>
                                        </pic:spPr>
                                      </pic:pic>
                                    </a:graphicData>
                                  </a:graphic>
                                </wp:inline>
                              </w:drawing>
                            </w:r>
                          </w:p>
                        </w:txbxContent>
                      </wps:txbx>
                      <wps:bodyPr rot="0" vert="horz" wrap="square" anchor="t" anchorCtr="0" upright="1"/>
                    </wps:wsp>
                  </a:graphicData>
                </a:graphic>
              </wp:anchor>
            </w:drawing>
          </mc:Choice>
          <mc:Fallback>
            <w:pict>
              <v:shape id="文本框 2" o:spid="_x0000_s1026" o:spt="202" type="#_x0000_t202" style="position:absolute;left:0pt;margin-left:20.35pt;margin-top:-29.15pt;height:59.25pt;width:407.25pt;z-index:251659264;mso-width-relative:page;mso-height-relative:page;" fillcolor="#FFFFFF" filled="t" stroked="f" coordsize="21600,21600" o:gfxdata="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&#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IeIqDYAAAACQEAAA8AAAAAAAAAAQAgAAAAIgAAAGRy&#10;cy9kb3ducmV2LnhtbFBLAQIUABQAAAAIAIdO4kC5L7OHBQIAAPADAAAOAAAAAAAAAAEAIAAAACcB&#10;AABkcnMvZTJvRG9jLnhtbFBLBQYAAAAABgAGAFkBAACeBQAAAAA=&#10;">
                <v:fill on="t" focussize="0,0"/>
                <v:stroke on="f"/>
                <v:imagedata o:title=""/>
                <o:lock v:ext="edit" aspectratio="f"/>
                <v:textbox>
                  <w:txbxContent>
                    <w:p w14:paraId="6B10DF44">
                      <w:r>
                        <w:drawing>
                          <wp:inline distT="0" distB="0" distL="0" distR="0">
                            <wp:extent cx="4932045" cy="6610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32045" cy="661035"/>
                                    </a:xfrm>
                                    <a:prstGeom prst="rect">
                                      <a:avLst/>
                                    </a:prstGeom>
                                    <a:noFill/>
                                    <a:ln>
                                      <a:noFill/>
                                    </a:ln>
                                  </pic:spPr>
                                </pic:pic>
                              </a:graphicData>
                            </a:graphic>
                          </wp:inline>
                        </w:drawing>
                      </w:r>
                    </w:p>
                  </w:txbxContent>
                </v:textbox>
              </v:shape>
            </w:pict>
          </mc:Fallback>
        </mc:AlternateContent>
      </w:r>
    </w:p>
    <w:p w14:paraId="062F07CA">
      <w:pPr>
        <w:spacing w:line="540" w:lineRule="exact"/>
        <w:rPr>
          <w:rFonts w:eastAsia="黑体" w:cs="Times New Roman"/>
          <w:color w:val="auto"/>
        </w:rPr>
      </w:pPr>
      <w:r>
        <w:rPr>
          <w:rFonts w:eastAsia="黑体" w:cs="Times New Roman"/>
          <w:color w:val="auto"/>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ragraph">
                  <wp:posOffset>147320</wp:posOffset>
                </wp:positionV>
                <wp:extent cx="6155055" cy="50800"/>
                <wp:effectExtent l="17780" t="17145" r="18415" b="8255"/>
                <wp:wrapNone/>
                <wp:docPr id="3" name="组合 6"/>
                <wp:cNvGraphicFramePr/>
                <a:graphic xmlns:a="http://schemas.openxmlformats.org/drawingml/2006/main">
                  <a:graphicData uri="http://schemas.microsoft.com/office/word/2010/wordprocessingGroup">
                    <wpg:wgp>
                      <wpg:cNvGrpSpPr/>
                      <wpg:grpSpPr>
                        <a:xfrm>
                          <a:off x="0" y="0"/>
                          <a:ext cx="6155055" cy="50800"/>
                          <a:chOff x="754" y="3190"/>
                          <a:chExt cx="9693" cy="80"/>
                        </a:xfrm>
                      </wpg:grpSpPr>
                      <wps:wsp>
                        <wps:cNvPr id="5" name="Line 3"/>
                        <wps:cNvCnPr>
                          <a:cxnSpLocks noChangeShapeType="1"/>
                        </wps:cNvCnPr>
                        <wps:spPr bwMode="auto">
                          <a:xfrm>
                            <a:off x="754" y="3190"/>
                            <a:ext cx="9693" cy="0"/>
                          </a:xfrm>
                          <a:prstGeom prst="line">
                            <a:avLst/>
                          </a:prstGeom>
                          <a:noFill/>
                          <a:ln w="28575">
                            <a:solidFill>
                              <a:srgbClr val="FF0000"/>
                            </a:solidFill>
                            <a:round/>
                          </a:ln>
                        </wps:spPr>
                        <wps:bodyPr/>
                      </wps:wsp>
                      <wps:wsp>
                        <wps:cNvPr id="6" name="Line 4"/>
                        <wps:cNvCnPr>
                          <a:cxnSpLocks noChangeShapeType="1"/>
                        </wps:cNvCnPr>
                        <wps:spPr bwMode="auto">
                          <a:xfrm>
                            <a:off x="754" y="3270"/>
                            <a:ext cx="9693" cy="0"/>
                          </a:xfrm>
                          <a:prstGeom prst="line">
                            <a:avLst/>
                          </a:prstGeom>
                          <a:noFill/>
                          <a:ln w="9525">
                            <a:solidFill>
                              <a:srgbClr val="FF0000"/>
                            </a:solidFill>
                            <a:round/>
                          </a:ln>
                        </wps:spPr>
                        <wps:bodyPr/>
                      </wps:wsp>
                    </wpg:wgp>
                  </a:graphicData>
                </a:graphic>
              </wp:anchor>
            </w:drawing>
          </mc:Choice>
          <mc:Fallback>
            <w:pict>
              <v:group id="组合 6" o:spid="_x0000_s1026" o:spt="203" style="position:absolute;left:0pt;margin-top:11.6pt;height:4pt;width:484.65pt;mso-position-horizontal:center;mso-position-horizontal-relative:margin;z-index:251660288;mso-width-relative:page;mso-height-relative:page;" coordorigin="754,3190" coordsize="9693,80" o:gfxdata="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e&#10;BjBH1wAAAAYBAAAPAAAAAAAAAAEAIAAAACIAAABkcnMvZG93bnJldi54bWxQSwECFAAUAAAACACH&#10;TuJAzr1atF4CAACRBgAADgAAAAAAAAABACAAAAAmAQAAZHJzL2Uyb0RvYy54bWxQSwUGAAAAAAYA&#10;BgBZAQAA9gUAAAAA&#10;">
                <o:lock v:ext="edit" aspectratio="f"/>
                <v:line id="Line 3" o:spid="_x0000_s1026" o:spt="20" style="position:absolute;left:754;top:3190;height:0;width:9693;" filled="f" stroked="t" coordsize="21600,21600" o:gfxdata="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QzuLsAAADa&#10;AAAADwAAAAAAAAABACAAAAAiAAAAZHJzL2Rvd25yZXYueG1sUEsBAhQAFAAAAAgAh07iQDMvBZ47&#10;AAAAOQAAABAAAAAAAAAAAQAgAAAACgEAAGRycy9zaGFwZXhtbC54bWxQSwUGAAAAAAYABgBbAQAA&#10;tAMAAAAA&#10;">
                  <v:fill on="f" focussize="0,0"/>
                  <v:stroke weight="2.25pt" color="#FF0000" joinstyle="round"/>
                  <v:imagedata o:title=""/>
                  <o:lock v:ext="edit" aspectratio="f"/>
                </v:line>
                <v:line id="Line 4" o:spid="_x0000_s1026" o:spt="20" style="position:absolute;left:754;top:3270;height:0;width:9693;" filled="f" stroked="t" coordsize="21600,21600" o:gfxdata="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2kvC8AAAA&#10;2gAAAA8AAAAAAAAAAQAgAAAAIgAAAGRycy9kb3ducmV2LnhtbFBLAQIUABQAAAAIAIdO4kAzLwWe&#10;OwAAADkAAAAQAAAAAAAAAAEAIAAAAAsBAABkcnMvc2hhcGV4bWwueG1sUEsFBgAAAAAGAAYAWwEA&#10;ALUDAAAAAA==&#10;">
                  <v:fill on="f" focussize="0,0"/>
                  <v:stroke color="#FF0000" joinstyle="round"/>
                  <v:imagedata o:title=""/>
                  <o:lock v:ext="edit" aspectratio="f"/>
                </v:line>
              </v:group>
            </w:pict>
          </mc:Fallback>
        </mc:AlternateContent>
      </w:r>
    </w:p>
    <w:p w14:paraId="554A8728">
      <w:pPr>
        <w:spacing w:line="540" w:lineRule="exact"/>
        <w:jc w:val="right"/>
        <w:rPr>
          <w:rFonts w:eastAsia="黑体" w:cs="Times New Roman"/>
          <w:color w:val="auto"/>
        </w:rPr>
      </w:pPr>
      <w:r>
        <w:rPr>
          <w:rFonts w:cs="Times New Roman"/>
          <w:color w:val="auto"/>
        </w:rPr>
        <w:t>研院〔2025〕</w:t>
      </w:r>
      <w:r>
        <w:rPr>
          <w:rFonts w:hint="eastAsia" w:cs="Times New Roman"/>
          <w:color w:val="auto"/>
          <w:lang w:val="en-US" w:eastAsia="zh-CN"/>
        </w:rPr>
        <w:t>1</w:t>
      </w:r>
      <w:bookmarkStart w:id="4" w:name="_GoBack"/>
      <w:bookmarkEnd w:id="4"/>
      <w:r>
        <w:rPr>
          <w:rFonts w:hint="eastAsia" w:cs="Times New Roman"/>
          <w:color w:val="auto"/>
          <w:lang w:val="en-US" w:eastAsia="zh-CN"/>
        </w:rPr>
        <w:t>9</w:t>
      </w:r>
      <w:r>
        <w:rPr>
          <w:rFonts w:cs="Times New Roman"/>
          <w:color w:val="auto"/>
        </w:rPr>
        <w:t>号</w:t>
      </w:r>
    </w:p>
    <w:p w14:paraId="272FDAE8">
      <w:pPr>
        <w:spacing w:line="540" w:lineRule="exact"/>
        <w:rPr>
          <w:rFonts w:eastAsia="黑体" w:cs="Times New Roman"/>
          <w:color w:val="auto"/>
        </w:rPr>
      </w:pPr>
    </w:p>
    <w:p w14:paraId="71EDB3CB">
      <w:pPr>
        <w:spacing w:line="540" w:lineRule="exact"/>
        <w:jc w:val="center"/>
        <w:rPr>
          <w:rFonts w:eastAsia="方正小标宋简体" w:cs="Times New Roman"/>
          <w:color w:val="auto"/>
          <w:sz w:val="44"/>
        </w:rPr>
      </w:pPr>
      <w:r>
        <w:rPr>
          <w:rFonts w:hint="eastAsia" w:eastAsia="方正小标宋简体" w:cs="Times New Roman"/>
          <w:color w:val="auto"/>
          <w:sz w:val="44"/>
        </w:rPr>
        <w:t>研究生院</w:t>
      </w:r>
      <w:r>
        <w:rPr>
          <w:rFonts w:eastAsia="方正小标宋简体" w:cs="Times New Roman"/>
          <w:color w:val="auto"/>
          <w:sz w:val="44"/>
        </w:rPr>
        <w:t>关于启动2025年中山大学研究生</w:t>
      </w:r>
    </w:p>
    <w:p w14:paraId="471777D2">
      <w:pPr>
        <w:spacing w:line="540" w:lineRule="exact"/>
        <w:jc w:val="center"/>
        <w:rPr>
          <w:rFonts w:eastAsia="方正小标宋简体" w:cs="Times New Roman"/>
          <w:color w:val="auto"/>
          <w:sz w:val="44"/>
        </w:rPr>
      </w:pPr>
      <w:r>
        <w:rPr>
          <w:rFonts w:eastAsia="方正小标宋简体" w:cs="Times New Roman"/>
          <w:color w:val="auto"/>
          <w:sz w:val="44"/>
        </w:rPr>
        <w:t>参加国际学术会议资助</w:t>
      </w:r>
      <w:r>
        <w:rPr>
          <w:rFonts w:hint="eastAsia" w:eastAsia="方正小标宋简体" w:cs="Times New Roman"/>
          <w:color w:val="auto"/>
          <w:sz w:val="44"/>
        </w:rPr>
        <w:t>计划专项</w:t>
      </w:r>
      <w:r>
        <w:rPr>
          <w:rFonts w:eastAsia="方正小标宋简体" w:cs="Times New Roman"/>
          <w:color w:val="auto"/>
          <w:sz w:val="44"/>
        </w:rPr>
        <w:t>的通知</w:t>
      </w:r>
    </w:p>
    <w:p w14:paraId="6A5C7D8A">
      <w:pPr>
        <w:spacing w:line="540" w:lineRule="exact"/>
        <w:rPr>
          <w:rFonts w:cs="Times New Roman"/>
          <w:color w:val="auto"/>
        </w:rPr>
      </w:pPr>
    </w:p>
    <w:p w14:paraId="7949178F">
      <w:pPr>
        <w:spacing w:line="540" w:lineRule="exact"/>
        <w:rPr>
          <w:rFonts w:cs="Times New Roman"/>
          <w:color w:val="auto"/>
          <w:szCs w:val="32"/>
        </w:rPr>
      </w:pPr>
      <w:r>
        <w:rPr>
          <w:rFonts w:cs="Times New Roman"/>
          <w:color w:val="auto"/>
          <w:szCs w:val="32"/>
        </w:rPr>
        <w:t>各研究生培养单位：</w:t>
      </w:r>
    </w:p>
    <w:p w14:paraId="2AB447E5">
      <w:pPr>
        <w:spacing w:line="540" w:lineRule="exact"/>
        <w:ind w:firstLine="624"/>
        <w:jc w:val="both"/>
        <w:rPr>
          <w:rFonts w:hint="eastAsia" w:cs="Times New Roman"/>
          <w:color w:val="auto"/>
          <w:szCs w:val="32"/>
        </w:rPr>
      </w:pPr>
      <w:r>
        <w:rPr>
          <w:rFonts w:cs="Times New Roman"/>
          <w:color w:val="auto"/>
          <w:szCs w:val="32"/>
        </w:rPr>
        <w:t>为</w:t>
      </w:r>
      <w:r>
        <w:rPr>
          <w:rFonts w:hint="eastAsia" w:cs="Times New Roman"/>
          <w:color w:val="auto"/>
          <w:szCs w:val="32"/>
        </w:rPr>
        <w:t>简化</w:t>
      </w:r>
      <w:r>
        <w:rPr>
          <w:rFonts w:cs="Times New Roman"/>
          <w:color w:val="auto"/>
          <w:szCs w:val="32"/>
        </w:rPr>
        <w:t>研究生参加国际学术会议资助</w:t>
      </w:r>
      <w:r>
        <w:rPr>
          <w:rFonts w:hint="eastAsia" w:cs="Times New Roman"/>
          <w:color w:val="auto"/>
          <w:szCs w:val="32"/>
        </w:rPr>
        <w:t>计划专项的审批流程、提升效率、扩大资助覆盖面，</w:t>
      </w:r>
      <w:r>
        <w:rPr>
          <w:rFonts w:hint="eastAsia" w:ascii="Times New Roman" w:hAnsi="Times New Roman" w:eastAsia="仿宋_GB2312" w:cs="Times New Roman"/>
          <w:color w:val="auto"/>
          <w:szCs w:val="32"/>
        </w:rPr>
        <w:t>根据《</w:t>
      </w:r>
      <w:r>
        <w:rPr>
          <w:rFonts w:hint="eastAsia" w:ascii="Times New Roman" w:hAnsi="Times New Roman" w:eastAsia="仿宋_GB2312" w:cs="Times New Roman"/>
          <w:color w:val="auto"/>
          <w:szCs w:val="32"/>
        </w:rPr>
        <w:fldChar w:fldCharType="begin"/>
      </w:r>
      <w:r>
        <w:rPr>
          <w:rFonts w:hint="eastAsia" w:ascii="Times New Roman" w:hAnsi="Times New Roman" w:eastAsia="仿宋_GB2312" w:cs="Times New Roman"/>
          <w:color w:val="auto"/>
          <w:szCs w:val="32"/>
        </w:rPr>
        <w:instrText xml:space="preserve">HYPERLINK "javascript:;"</w:instrText>
      </w:r>
      <w:r>
        <w:rPr>
          <w:rFonts w:hint="eastAsia" w:ascii="Times New Roman" w:hAnsi="Times New Roman" w:eastAsia="仿宋_GB2312" w:cs="Times New Roman"/>
          <w:color w:val="auto"/>
          <w:szCs w:val="32"/>
        </w:rPr>
        <w:fldChar w:fldCharType="separate"/>
      </w:r>
      <w:r>
        <w:rPr>
          <w:rFonts w:hint="eastAsia" w:ascii="Times New Roman" w:hAnsi="Times New Roman" w:eastAsia="仿宋_GB2312" w:cs="Times New Roman"/>
          <w:color w:val="auto"/>
          <w:szCs w:val="32"/>
        </w:rPr>
        <w:t>中山大学预算管理办法</w:t>
      </w:r>
      <w:r>
        <w:rPr>
          <w:rFonts w:hint="eastAsia" w:ascii="Times New Roman" w:hAnsi="Times New Roman" w:eastAsia="仿宋_GB2312" w:cs="Times New Roman"/>
          <w:color w:val="auto"/>
          <w:szCs w:val="32"/>
        </w:rPr>
        <w:fldChar w:fldCharType="end"/>
      </w:r>
      <w:r>
        <w:rPr>
          <w:rFonts w:hint="eastAsia" w:ascii="Times New Roman" w:hAnsi="Times New Roman" w:eastAsia="仿宋_GB2312" w:cs="Times New Roman"/>
          <w:color w:val="auto"/>
          <w:szCs w:val="32"/>
        </w:rPr>
        <w:t>》（中大发规〔2022〕32号）、《</w:t>
      </w:r>
      <w:r>
        <w:rPr>
          <w:rFonts w:hint="eastAsia" w:ascii="Times New Roman" w:hAnsi="Times New Roman" w:eastAsia="仿宋_GB2312" w:cs="Times New Roman"/>
          <w:color w:val="auto"/>
          <w:szCs w:val="32"/>
        </w:rPr>
        <w:fldChar w:fldCharType="begin"/>
      </w:r>
      <w:r>
        <w:rPr>
          <w:rFonts w:hint="eastAsia" w:ascii="Times New Roman" w:hAnsi="Times New Roman" w:eastAsia="仿宋_GB2312" w:cs="Times New Roman"/>
          <w:color w:val="auto"/>
          <w:szCs w:val="32"/>
        </w:rPr>
        <w:instrText xml:space="preserve">HYPERLINK "javascript:;"</w:instrText>
      </w:r>
      <w:r>
        <w:rPr>
          <w:rFonts w:hint="eastAsia" w:ascii="Times New Roman" w:hAnsi="Times New Roman" w:eastAsia="仿宋_GB2312" w:cs="Times New Roman"/>
          <w:color w:val="auto"/>
          <w:szCs w:val="32"/>
        </w:rPr>
        <w:fldChar w:fldCharType="separate"/>
      </w:r>
      <w:r>
        <w:rPr>
          <w:rFonts w:hint="eastAsia" w:ascii="Times New Roman" w:hAnsi="Times New Roman" w:eastAsia="仿宋_GB2312" w:cs="Times New Roman"/>
          <w:color w:val="auto"/>
          <w:szCs w:val="32"/>
        </w:rPr>
        <w:t>中山大学重点发展项目管理细则</w:t>
      </w:r>
      <w:r>
        <w:rPr>
          <w:rFonts w:hint="eastAsia" w:ascii="Times New Roman" w:hAnsi="Times New Roman" w:eastAsia="仿宋_GB2312" w:cs="Times New Roman"/>
          <w:color w:val="auto"/>
          <w:szCs w:val="32"/>
        </w:rPr>
        <w:fldChar w:fldCharType="end"/>
      </w:r>
      <w:r>
        <w:rPr>
          <w:rFonts w:hint="eastAsia" w:ascii="Times New Roman" w:hAnsi="Times New Roman" w:eastAsia="仿宋_GB2312" w:cs="Times New Roman"/>
          <w:color w:val="auto"/>
          <w:szCs w:val="32"/>
        </w:rPr>
        <w:t>》（中大发规〔2023〕38 号）和《中山大学研究生因公出国（境）管理办法》（中大研院〔</w:t>
      </w:r>
      <w:r>
        <w:rPr>
          <w:rFonts w:hint="eastAsia" w:cs="Times New Roman"/>
          <w:color w:val="auto"/>
          <w:szCs w:val="32"/>
        </w:rPr>
        <w:t>2023</w:t>
      </w:r>
      <w:r>
        <w:rPr>
          <w:rFonts w:hint="eastAsia" w:ascii="Times New Roman" w:hAnsi="Times New Roman" w:eastAsia="仿宋_GB2312" w:cs="Times New Roman"/>
          <w:color w:val="auto"/>
          <w:szCs w:val="32"/>
        </w:rPr>
        <w:t>〕</w:t>
      </w:r>
      <w:r>
        <w:rPr>
          <w:rFonts w:hint="eastAsia" w:cs="Times New Roman"/>
          <w:color w:val="auto"/>
          <w:szCs w:val="32"/>
        </w:rPr>
        <w:t>61</w:t>
      </w:r>
      <w:r>
        <w:rPr>
          <w:rFonts w:hint="eastAsia" w:ascii="Times New Roman" w:hAnsi="Times New Roman" w:eastAsia="仿宋_GB2312" w:cs="Times New Roman"/>
          <w:color w:val="auto"/>
          <w:szCs w:val="32"/>
        </w:rPr>
        <w:t>号</w:t>
      </w:r>
      <w:r>
        <w:rPr>
          <w:rFonts w:hint="eastAsia" w:cs="Times New Roman"/>
          <w:color w:val="auto"/>
          <w:szCs w:val="32"/>
        </w:rPr>
        <w:t>）</w:t>
      </w:r>
      <w:r>
        <w:rPr>
          <w:rFonts w:hint="eastAsia" w:ascii="Times New Roman" w:hAnsi="Times New Roman" w:eastAsia="仿宋_GB2312" w:cs="Times New Roman"/>
          <w:color w:val="auto"/>
          <w:szCs w:val="32"/>
        </w:rPr>
        <w:t>等有关规定，</w:t>
      </w:r>
      <w:r>
        <w:rPr>
          <w:rFonts w:hint="eastAsia" w:cs="Times New Roman"/>
          <w:color w:val="auto"/>
          <w:szCs w:val="32"/>
        </w:rPr>
        <w:t>研究生院根据各培养单位在校全日制研究生规模，将</w:t>
      </w:r>
      <w:r>
        <w:rPr>
          <w:rFonts w:cs="Times New Roman"/>
          <w:color w:val="auto"/>
          <w:szCs w:val="32"/>
        </w:rPr>
        <w:t>2025年</w:t>
      </w:r>
      <w:r>
        <w:rPr>
          <w:rFonts w:hint="eastAsia" w:cs="Times New Roman"/>
          <w:color w:val="auto"/>
          <w:szCs w:val="32"/>
        </w:rPr>
        <w:t>中山大学</w:t>
      </w:r>
      <w:r>
        <w:rPr>
          <w:rFonts w:cs="Times New Roman"/>
          <w:color w:val="auto"/>
          <w:szCs w:val="32"/>
        </w:rPr>
        <w:t>研究生参加国际学术会议资助</w:t>
      </w:r>
      <w:r>
        <w:rPr>
          <w:rFonts w:hint="eastAsia" w:cs="Times New Roman"/>
          <w:color w:val="auto"/>
          <w:szCs w:val="32"/>
        </w:rPr>
        <w:t>计划专项经费划拨到各培养单位，各培养单位专项经费项目</w:t>
      </w:r>
      <w:r>
        <w:rPr>
          <w:rFonts w:hint="eastAsia" w:ascii="Times New Roman" w:hAnsi="Times New Roman" w:eastAsia="仿宋_GB2312" w:cs="Times New Roman"/>
          <w:color w:val="auto"/>
          <w:szCs w:val="32"/>
        </w:rPr>
        <w:t>名称和编</w:t>
      </w:r>
      <w:r>
        <w:rPr>
          <w:rFonts w:hint="eastAsia" w:cs="Times New Roman"/>
          <w:color w:val="auto"/>
          <w:szCs w:val="32"/>
        </w:rPr>
        <w:t>号详见附件1</w:t>
      </w:r>
      <w:r>
        <w:rPr>
          <w:rFonts w:hint="eastAsia" w:ascii="Times New Roman" w:hAnsi="Times New Roman" w:eastAsia="仿宋_GB2312" w:cs="Times New Roman"/>
          <w:color w:val="auto"/>
          <w:szCs w:val="32"/>
        </w:rPr>
        <w:t>，2025年首批拨款额度将通过邮件形式另行通知</w:t>
      </w:r>
      <w:r>
        <w:rPr>
          <w:rFonts w:hint="eastAsia" w:cs="Times New Roman"/>
          <w:color w:val="auto"/>
          <w:szCs w:val="32"/>
        </w:rPr>
        <w:t>。</w:t>
      </w:r>
    </w:p>
    <w:p w14:paraId="0419AF88">
      <w:pPr>
        <w:spacing w:line="540" w:lineRule="exact"/>
        <w:ind w:firstLine="624"/>
        <w:jc w:val="both"/>
        <w:rPr>
          <w:rFonts w:cs="Times New Roman"/>
          <w:color w:val="auto"/>
          <w:szCs w:val="32"/>
        </w:rPr>
      </w:pPr>
      <w:r>
        <w:rPr>
          <w:rFonts w:hint="eastAsia" w:ascii="Times New Roman" w:hAnsi="Times New Roman" w:eastAsia="仿宋_GB2312" w:cs="Times New Roman"/>
          <w:color w:val="auto"/>
          <w:szCs w:val="32"/>
        </w:rPr>
        <w:t>从2025年2月起，</w:t>
      </w:r>
      <w:r>
        <w:rPr>
          <w:rFonts w:hint="eastAsia" w:cs="Times New Roman"/>
          <w:color w:val="auto"/>
          <w:szCs w:val="32"/>
        </w:rPr>
        <w:t>由各培养单位</w:t>
      </w:r>
      <w:r>
        <w:rPr>
          <w:rFonts w:hint="eastAsia" w:ascii="Times New Roman" w:hAnsi="Times New Roman" w:eastAsia="仿宋_GB2312" w:cs="Times New Roman"/>
          <w:color w:val="auto"/>
          <w:szCs w:val="32"/>
        </w:rPr>
        <w:t>依据《中山大学研究生因公出国（境）管理办法》</w:t>
      </w:r>
      <w:r>
        <w:rPr>
          <w:rFonts w:hint="eastAsia" w:cs="Times New Roman"/>
          <w:color w:val="auto"/>
          <w:szCs w:val="32"/>
        </w:rPr>
        <w:t>负责对本单位研究生申请参加高水平国际学术会议资助进行审批和报销。</w:t>
      </w:r>
      <w:r>
        <w:rPr>
          <w:rFonts w:cs="Times New Roman"/>
          <w:color w:val="auto"/>
          <w:szCs w:val="32"/>
        </w:rPr>
        <w:t>为</w:t>
      </w:r>
      <w:r>
        <w:rPr>
          <w:rFonts w:hint="eastAsia" w:cs="Times New Roman"/>
          <w:color w:val="auto"/>
          <w:szCs w:val="32"/>
        </w:rPr>
        <w:t>确保该专项经费</w:t>
      </w:r>
      <w:r>
        <w:rPr>
          <w:rFonts w:cs="Times New Roman"/>
          <w:color w:val="auto"/>
          <w:szCs w:val="32"/>
        </w:rPr>
        <w:t>的执行</w:t>
      </w:r>
      <w:r>
        <w:rPr>
          <w:rFonts w:hint="eastAsia" w:cs="Times New Roman"/>
          <w:color w:val="auto"/>
          <w:szCs w:val="32"/>
        </w:rPr>
        <w:t>效果</w:t>
      </w:r>
      <w:r>
        <w:rPr>
          <w:rFonts w:cs="Times New Roman"/>
          <w:color w:val="auto"/>
          <w:szCs w:val="32"/>
        </w:rPr>
        <w:t>，现将有关事项通知如下：</w:t>
      </w:r>
    </w:p>
    <w:p w14:paraId="686F9B24">
      <w:pPr>
        <w:spacing w:line="540" w:lineRule="exact"/>
        <w:ind w:firstLine="624"/>
        <w:jc w:val="both"/>
        <w:rPr>
          <w:rFonts w:eastAsia="黑体" w:cs="Times New Roman"/>
          <w:color w:val="auto"/>
          <w:szCs w:val="32"/>
        </w:rPr>
      </w:pPr>
      <w:r>
        <w:rPr>
          <w:rFonts w:eastAsia="黑体" w:cs="Times New Roman"/>
          <w:color w:val="auto"/>
          <w:szCs w:val="32"/>
        </w:rPr>
        <w:t>一、资助对象及条件</w:t>
      </w:r>
    </w:p>
    <w:p w14:paraId="1C9FB0C3">
      <w:pPr>
        <w:spacing w:line="540" w:lineRule="exact"/>
        <w:ind w:firstLine="624"/>
        <w:jc w:val="both"/>
        <w:rPr>
          <w:rFonts w:cs="Times New Roman"/>
          <w:color w:val="auto"/>
          <w:szCs w:val="32"/>
        </w:rPr>
      </w:pPr>
      <w:r>
        <w:rPr>
          <w:rFonts w:cs="Times New Roman"/>
          <w:color w:val="auto"/>
          <w:szCs w:val="32"/>
        </w:rPr>
        <w:t>1. 资助对象</w:t>
      </w:r>
    </w:p>
    <w:p w14:paraId="354CE5E8">
      <w:pPr>
        <w:spacing w:line="540" w:lineRule="exact"/>
        <w:ind w:firstLine="624"/>
        <w:jc w:val="both"/>
        <w:rPr>
          <w:rFonts w:cs="Times New Roman"/>
          <w:color w:val="auto"/>
          <w:szCs w:val="32"/>
        </w:rPr>
      </w:pPr>
      <w:r>
        <w:rPr>
          <w:rFonts w:cs="Times New Roman"/>
          <w:color w:val="auto"/>
          <w:szCs w:val="32"/>
        </w:rPr>
        <w:t>本计划资助在校（不含在国、境外留学研究生）全日制优秀研究生，优先资助博士研究生（含硕博连读生），同时接受符合申请条件的优秀硕士研究生的申请。</w:t>
      </w:r>
    </w:p>
    <w:p w14:paraId="621CD08B">
      <w:pPr>
        <w:numPr>
          <w:ilvl w:val="0"/>
          <w:numId w:val="1"/>
        </w:numPr>
        <w:spacing w:line="540" w:lineRule="exact"/>
        <w:ind w:firstLine="624"/>
        <w:jc w:val="both"/>
        <w:rPr>
          <w:rFonts w:cs="Times New Roman"/>
          <w:color w:val="auto"/>
          <w:szCs w:val="32"/>
        </w:rPr>
      </w:pPr>
      <w:r>
        <w:rPr>
          <w:rFonts w:hint="eastAsia" w:cs="Times New Roman"/>
          <w:color w:val="auto"/>
          <w:szCs w:val="32"/>
        </w:rPr>
        <w:t>申请</w:t>
      </w:r>
      <w:r>
        <w:rPr>
          <w:rFonts w:cs="Times New Roman"/>
          <w:color w:val="auto"/>
          <w:szCs w:val="32"/>
        </w:rPr>
        <w:t>条件</w:t>
      </w:r>
    </w:p>
    <w:p w14:paraId="0679477B">
      <w:pPr>
        <w:spacing w:line="540" w:lineRule="exact"/>
        <w:ind w:firstLine="624"/>
        <w:jc w:val="both"/>
        <w:rPr>
          <w:rFonts w:cs="Times New Roman"/>
          <w:color w:val="auto"/>
          <w:szCs w:val="32"/>
        </w:rPr>
      </w:pPr>
      <w:r>
        <w:rPr>
          <w:rFonts w:cs="Times New Roman"/>
          <w:color w:val="auto"/>
          <w:szCs w:val="32"/>
        </w:rPr>
        <w:t>（1）以中山大学为第一署名单位的第一作者或者第二作者（第一作者须为导师）的学术论文被高水平国际学术会议接收。</w:t>
      </w:r>
    </w:p>
    <w:p w14:paraId="75B7EB22">
      <w:pPr>
        <w:spacing w:line="540" w:lineRule="exact"/>
        <w:ind w:firstLine="624"/>
        <w:jc w:val="both"/>
        <w:rPr>
          <w:rFonts w:cs="Times New Roman"/>
          <w:color w:val="auto"/>
          <w:szCs w:val="32"/>
        </w:rPr>
      </w:pPr>
      <w:r>
        <w:rPr>
          <w:rFonts w:cs="Times New Roman"/>
          <w:color w:val="auto"/>
          <w:szCs w:val="32"/>
        </w:rPr>
        <w:t>（2）获会议主办方的正式录用通知或邀请函，并应邀</w:t>
      </w:r>
      <w:r>
        <w:rPr>
          <w:rFonts w:hint="eastAsia" w:cs="Times New Roman"/>
          <w:color w:val="auto"/>
          <w:szCs w:val="32"/>
        </w:rPr>
        <w:t>作</w:t>
      </w:r>
      <w:r>
        <w:rPr>
          <w:rFonts w:cs="Times New Roman"/>
          <w:color w:val="auto"/>
          <w:szCs w:val="32"/>
        </w:rPr>
        <w:t>论文口头报告或展板展示。</w:t>
      </w:r>
    </w:p>
    <w:p w14:paraId="2BC4730F">
      <w:pPr>
        <w:spacing w:line="540" w:lineRule="exact"/>
        <w:ind w:firstLine="624"/>
        <w:jc w:val="both"/>
        <w:rPr>
          <w:rFonts w:eastAsia="黑体" w:cs="Times New Roman"/>
          <w:color w:val="auto"/>
          <w:szCs w:val="32"/>
        </w:rPr>
      </w:pPr>
      <w:r>
        <w:rPr>
          <w:rFonts w:eastAsia="黑体" w:cs="Times New Roman"/>
          <w:color w:val="auto"/>
          <w:szCs w:val="32"/>
        </w:rPr>
        <w:t>二、资助的会议范围</w:t>
      </w:r>
    </w:p>
    <w:p w14:paraId="2A7EDC18">
      <w:pPr>
        <w:spacing w:line="540" w:lineRule="exact"/>
        <w:ind w:firstLine="624"/>
        <w:jc w:val="both"/>
        <w:rPr>
          <w:rFonts w:cs="Times New Roman"/>
          <w:color w:val="auto"/>
          <w:szCs w:val="32"/>
        </w:rPr>
      </w:pPr>
      <w:r>
        <w:rPr>
          <w:rFonts w:hint="eastAsia" w:cs="Times New Roman"/>
          <w:color w:val="auto"/>
          <w:szCs w:val="32"/>
        </w:rPr>
        <w:t>本计划</w:t>
      </w:r>
      <w:r>
        <w:rPr>
          <w:rFonts w:cs="Times New Roman"/>
          <w:color w:val="auto"/>
          <w:szCs w:val="32"/>
        </w:rPr>
        <w:t>资助优秀研究生参加2025年在国（境）外（不含</w:t>
      </w:r>
      <w:r>
        <w:rPr>
          <w:rFonts w:hint="eastAsia" w:cs="Times New Roman"/>
          <w:color w:val="auto"/>
          <w:szCs w:val="32"/>
        </w:rPr>
        <w:t>中国</w:t>
      </w:r>
      <w:r>
        <w:rPr>
          <w:rFonts w:cs="Times New Roman"/>
          <w:color w:val="auto"/>
          <w:szCs w:val="32"/>
        </w:rPr>
        <w:t>香港、</w:t>
      </w:r>
      <w:r>
        <w:rPr>
          <w:rFonts w:hint="eastAsia" w:cs="Times New Roman"/>
          <w:color w:val="auto"/>
          <w:szCs w:val="32"/>
        </w:rPr>
        <w:t>中国</w:t>
      </w:r>
      <w:r>
        <w:rPr>
          <w:rFonts w:cs="Times New Roman"/>
          <w:color w:val="auto"/>
          <w:szCs w:val="32"/>
        </w:rPr>
        <w:t>澳门）举办的高水平国际学术会议</w:t>
      </w:r>
      <w:r>
        <w:rPr>
          <w:rFonts w:hint="eastAsia" w:cs="Times New Roman"/>
          <w:color w:val="auto"/>
          <w:szCs w:val="32"/>
        </w:rPr>
        <w:t>，请</w:t>
      </w:r>
      <w:r>
        <w:rPr>
          <w:rFonts w:cs="Times New Roman"/>
          <w:color w:val="auto"/>
          <w:szCs w:val="32"/>
        </w:rPr>
        <w:t>导师鼓励</w:t>
      </w:r>
      <w:r>
        <w:rPr>
          <w:rFonts w:hint="eastAsia" w:cs="Times New Roman"/>
          <w:color w:val="auto"/>
          <w:szCs w:val="32"/>
        </w:rPr>
        <w:t>和支持</w:t>
      </w:r>
      <w:r>
        <w:rPr>
          <w:rFonts w:cs="Times New Roman"/>
          <w:color w:val="auto"/>
          <w:szCs w:val="32"/>
        </w:rPr>
        <w:t>研究生积极投稿参会</w:t>
      </w:r>
      <w:r>
        <w:rPr>
          <w:rFonts w:hint="eastAsia" w:cs="Times New Roman"/>
          <w:color w:val="auto"/>
          <w:szCs w:val="32"/>
        </w:rPr>
        <w:t>。</w:t>
      </w:r>
      <w:r>
        <w:rPr>
          <w:rFonts w:cs="Times New Roman"/>
          <w:color w:val="auto"/>
          <w:szCs w:val="32"/>
        </w:rPr>
        <w:t>2025年拟资助的研究生参加国（境）外召开的高水平国际学术会议</w:t>
      </w:r>
      <w:r>
        <w:rPr>
          <w:rFonts w:hint="eastAsia" w:cs="Times New Roman"/>
          <w:color w:val="auto"/>
          <w:szCs w:val="32"/>
        </w:rPr>
        <w:t>范围由</w:t>
      </w:r>
      <w:r>
        <w:rPr>
          <w:rFonts w:cs="Times New Roman"/>
          <w:color w:val="auto"/>
          <w:szCs w:val="32"/>
        </w:rPr>
        <w:t>各培养单位</w:t>
      </w:r>
      <w:r>
        <w:rPr>
          <w:rFonts w:hint="eastAsia" w:cs="Times New Roman"/>
          <w:color w:val="auto"/>
          <w:szCs w:val="32"/>
        </w:rPr>
        <w:t>根据会议重要性自行确定。</w:t>
      </w:r>
    </w:p>
    <w:p w14:paraId="5FCE4FCC">
      <w:pPr>
        <w:spacing w:line="540" w:lineRule="exact"/>
        <w:ind w:firstLine="624"/>
        <w:jc w:val="both"/>
        <w:rPr>
          <w:rFonts w:eastAsia="黑体" w:cs="Times New Roman"/>
          <w:color w:val="auto"/>
          <w:szCs w:val="32"/>
        </w:rPr>
      </w:pPr>
      <w:r>
        <w:rPr>
          <w:rFonts w:eastAsia="黑体" w:cs="Times New Roman"/>
          <w:color w:val="auto"/>
          <w:szCs w:val="32"/>
        </w:rPr>
        <w:t>三、资助</w:t>
      </w:r>
      <w:r>
        <w:rPr>
          <w:rFonts w:hint="eastAsia" w:eastAsia="黑体" w:cs="Times New Roman"/>
          <w:color w:val="auto"/>
          <w:szCs w:val="32"/>
        </w:rPr>
        <w:t>经费</w:t>
      </w:r>
      <w:r>
        <w:rPr>
          <w:rFonts w:eastAsia="黑体" w:cs="Times New Roman"/>
          <w:color w:val="auto"/>
          <w:szCs w:val="32"/>
        </w:rPr>
        <w:t>额度</w:t>
      </w:r>
    </w:p>
    <w:p w14:paraId="08D81F1A">
      <w:pPr>
        <w:spacing w:line="540" w:lineRule="exact"/>
        <w:ind w:firstLine="624"/>
        <w:jc w:val="both"/>
        <w:rPr>
          <w:rFonts w:cs="Times New Roman"/>
          <w:color w:val="auto"/>
          <w:szCs w:val="32"/>
        </w:rPr>
      </w:pPr>
      <w:r>
        <w:rPr>
          <w:rFonts w:cs="Times New Roman"/>
          <w:color w:val="auto"/>
          <w:szCs w:val="32"/>
        </w:rPr>
        <w:t>根据会议举办地</w:t>
      </w:r>
      <w:r>
        <w:rPr>
          <w:rFonts w:hint="eastAsia" w:cs="Times New Roman"/>
          <w:color w:val="auto"/>
          <w:szCs w:val="32"/>
        </w:rPr>
        <w:t>的不同，建议资助额度如下（供参考）：</w:t>
      </w:r>
    </w:p>
    <w:p w14:paraId="662DE1B0">
      <w:pPr>
        <w:spacing w:line="540" w:lineRule="exact"/>
        <w:ind w:firstLine="624"/>
        <w:jc w:val="both"/>
        <w:rPr>
          <w:rFonts w:cs="Times New Roman"/>
          <w:color w:val="auto"/>
          <w:szCs w:val="32"/>
        </w:rPr>
      </w:pPr>
    </w:p>
    <w:tbl>
      <w:tblPr>
        <w:tblStyle w:val="9"/>
        <w:tblW w:w="8075" w:type="dxa"/>
        <w:tblInd w:w="317" w:type="dxa"/>
        <w:tblLayout w:type="autofit"/>
        <w:tblCellMar>
          <w:top w:w="0" w:type="dxa"/>
          <w:left w:w="108" w:type="dxa"/>
          <w:bottom w:w="0" w:type="dxa"/>
          <w:right w:w="108" w:type="dxa"/>
        </w:tblCellMar>
      </w:tblPr>
      <w:tblGrid>
        <w:gridCol w:w="1555"/>
        <w:gridCol w:w="2126"/>
        <w:gridCol w:w="2126"/>
        <w:gridCol w:w="2268"/>
      </w:tblGrid>
      <w:tr w14:paraId="7A5B06D2">
        <w:tblPrEx>
          <w:tblCellMar>
            <w:top w:w="0" w:type="dxa"/>
            <w:left w:w="108" w:type="dxa"/>
            <w:bottom w:w="0" w:type="dxa"/>
            <w:right w:w="108" w:type="dxa"/>
          </w:tblCellMar>
        </w:tblPrEx>
        <w:trPr>
          <w:trHeight w:val="780" w:hRule="atLeast"/>
        </w:trPr>
        <w:tc>
          <w:tcPr>
            <w:tcW w:w="155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9381474">
            <w:pPr>
              <w:widowControl/>
              <w:adjustRightInd/>
              <w:snapToGrid/>
              <w:spacing w:line="240" w:lineRule="auto"/>
              <w:jc w:val="center"/>
              <w:rPr>
                <w:rFonts w:eastAsia="等线" w:cs="Times New Roman"/>
                <w:color w:val="auto"/>
                <w:kern w:val="0"/>
                <w:sz w:val="24"/>
                <w:szCs w:val="24"/>
              </w:rPr>
            </w:pPr>
            <w:r>
              <w:rPr>
                <w:rFonts w:hint="eastAsia" w:ascii="仿宋_GB2312" w:cs="Times New Roman"/>
                <w:color w:val="auto"/>
                <w:kern w:val="0"/>
                <w:sz w:val="24"/>
                <w:szCs w:val="24"/>
              </w:rPr>
              <w:t>参会形式</w:t>
            </w:r>
          </w:p>
        </w:tc>
        <w:tc>
          <w:tcPr>
            <w:tcW w:w="6520" w:type="dxa"/>
            <w:gridSpan w:val="3"/>
            <w:tcBorders>
              <w:top w:val="single" w:color="auto" w:sz="4" w:space="0"/>
              <w:left w:val="nil"/>
              <w:bottom w:val="single" w:color="auto" w:sz="4" w:space="0"/>
              <w:right w:val="single" w:color="auto" w:sz="4" w:space="0"/>
            </w:tcBorders>
            <w:shd w:val="clear" w:color="auto" w:fill="auto"/>
            <w:vAlign w:val="center"/>
          </w:tcPr>
          <w:p w14:paraId="47754EC0">
            <w:pPr>
              <w:widowControl/>
              <w:adjustRightInd/>
              <w:snapToGrid/>
              <w:spacing w:line="240" w:lineRule="auto"/>
              <w:jc w:val="center"/>
              <w:rPr>
                <w:rFonts w:eastAsia="等线" w:cs="Times New Roman"/>
                <w:color w:val="auto"/>
                <w:kern w:val="0"/>
                <w:sz w:val="24"/>
                <w:szCs w:val="24"/>
              </w:rPr>
            </w:pPr>
            <w:r>
              <w:rPr>
                <w:rFonts w:hint="eastAsia" w:ascii="仿宋_GB2312" w:cs="Times New Roman"/>
                <w:color w:val="auto"/>
                <w:kern w:val="0"/>
                <w:sz w:val="24"/>
                <w:szCs w:val="24"/>
              </w:rPr>
              <w:t>国家和地区（币种：人民币）</w:t>
            </w:r>
          </w:p>
        </w:tc>
      </w:tr>
      <w:tr w14:paraId="3F6E5248">
        <w:tblPrEx>
          <w:tblCellMar>
            <w:top w:w="0" w:type="dxa"/>
            <w:left w:w="108" w:type="dxa"/>
            <w:bottom w:w="0" w:type="dxa"/>
            <w:right w:w="108" w:type="dxa"/>
          </w:tblCellMar>
        </w:tblPrEx>
        <w:trPr>
          <w:trHeight w:val="936" w:hRule="atLeast"/>
        </w:trPr>
        <w:tc>
          <w:tcPr>
            <w:tcW w:w="1555" w:type="dxa"/>
            <w:vMerge w:val="continue"/>
            <w:tcBorders>
              <w:top w:val="single" w:color="auto" w:sz="4" w:space="0"/>
              <w:left w:val="single" w:color="auto" w:sz="4" w:space="0"/>
              <w:bottom w:val="single" w:color="auto" w:sz="4" w:space="0"/>
              <w:right w:val="single" w:color="auto" w:sz="4" w:space="0"/>
            </w:tcBorders>
            <w:vAlign w:val="center"/>
          </w:tcPr>
          <w:p w14:paraId="112195C9">
            <w:pPr>
              <w:widowControl/>
              <w:adjustRightInd/>
              <w:snapToGrid/>
              <w:spacing w:line="240" w:lineRule="auto"/>
              <w:rPr>
                <w:rFonts w:eastAsia="等线" w:cs="Times New Roman"/>
                <w:color w:val="auto"/>
                <w:kern w:val="0"/>
                <w:sz w:val="24"/>
                <w:szCs w:val="24"/>
              </w:rPr>
            </w:pPr>
          </w:p>
        </w:tc>
        <w:tc>
          <w:tcPr>
            <w:tcW w:w="2126" w:type="dxa"/>
            <w:tcBorders>
              <w:top w:val="single" w:color="auto" w:sz="4" w:space="0"/>
              <w:left w:val="nil"/>
              <w:bottom w:val="single" w:color="auto" w:sz="4" w:space="0"/>
              <w:right w:val="single" w:color="auto" w:sz="4" w:space="0"/>
            </w:tcBorders>
            <w:shd w:val="clear" w:color="auto" w:fill="auto"/>
            <w:vAlign w:val="center"/>
          </w:tcPr>
          <w:p w14:paraId="507BFE49">
            <w:pPr>
              <w:widowControl/>
              <w:adjustRightInd/>
              <w:snapToGrid/>
              <w:spacing w:line="240" w:lineRule="auto"/>
              <w:jc w:val="center"/>
              <w:rPr>
                <w:rFonts w:eastAsia="等线" w:cs="Times New Roman"/>
                <w:color w:val="auto"/>
                <w:kern w:val="0"/>
                <w:sz w:val="24"/>
                <w:szCs w:val="24"/>
              </w:rPr>
            </w:pPr>
            <w:r>
              <w:rPr>
                <w:rFonts w:hint="eastAsia" w:ascii="仿宋_GB2312" w:cs="Times New Roman"/>
                <w:color w:val="auto"/>
                <w:kern w:val="0"/>
                <w:sz w:val="24"/>
                <w:szCs w:val="24"/>
              </w:rPr>
              <w:t>美洲、非洲</w:t>
            </w:r>
          </w:p>
        </w:tc>
        <w:tc>
          <w:tcPr>
            <w:tcW w:w="2126" w:type="dxa"/>
            <w:tcBorders>
              <w:top w:val="single" w:color="auto" w:sz="4" w:space="0"/>
              <w:left w:val="nil"/>
              <w:bottom w:val="single" w:color="auto" w:sz="4" w:space="0"/>
              <w:right w:val="single" w:color="auto" w:sz="4" w:space="0"/>
            </w:tcBorders>
            <w:shd w:val="clear" w:color="auto" w:fill="auto"/>
            <w:vAlign w:val="center"/>
          </w:tcPr>
          <w:p w14:paraId="3FD70E30">
            <w:pPr>
              <w:widowControl/>
              <w:adjustRightInd/>
              <w:snapToGrid/>
              <w:spacing w:line="240" w:lineRule="auto"/>
              <w:jc w:val="center"/>
              <w:rPr>
                <w:rFonts w:eastAsia="等线" w:cs="Times New Roman"/>
                <w:color w:val="auto"/>
                <w:kern w:val="0"/>
                <w:sz w:val="24"/>
                <w:szCs w:val="24"/>
              </w:rPr>
            </w:pPr>
            <w:r>
              <w:rPr>
                <w:rFonts w:hint="eastAsia" w:ascii="仿宋_GB2312" w:cs="Times New Roman"/>
                <w:color w:val="auto"/>
                <w:kern w:val="0"/>
                <w:sz w:val="24"/>
                <w:szCs w:val="24"/>
              </w:rPr>
              <w:t>欧洲、大洋洲</w:t>
            </w:r>
          </w:p>
        </w:tc>
        <w:tc>
          <w:tcPr>
            <w:tcW w:w="2268" w:type="dxa"/>
            <w:tcBorders>
              <w:top w:val="single" w:color="auto" w:sz="4" w:space="0"/>
              <w:left w:val="nil"/>
              <w:bottom w:val="single" w:color="auto" w:sz="4" w:space="0"/>
              <w:right w:val="single" w:color="auto" w:sz="4" w:space="0"/>
            </w:tcBorders>
            <w:shd w:val="clear" w:color="auto" w:fill="auto"/>
            <w:vAlign w:val="center"/>
          </w:tcPr>
          <w:p w14:paraId="38480ED8">
            <w:pPr>
              <w:widowControl/>
              <w:adjustRightInd/>
              <w:snapToGrid/>
              <w:spacing w:line="240" w:lineRule="auto"/>
              <w:jc w:val="center"/>
              <w:rPr>
                <w:rFonts w:eastAsia="等线" w:cs="Times New Roman"/>
                <w:color w:val="auto"/>
                <w:kern w:val="0"/>
                <w:sz w:val="24"/>
                <w:szCs w:val="24"/>
              </w:rPr>
            </w:pPr>
            <w:r>
              <w:rPr>
                <w:rFonts w:hint="eastAsia" w:ascii="仿宋_GB2312" w:cs="Times New Roman"/>
                <w:color w:val="auto"/>
                <w:kern w:val="0"/>
                <w:sz w:val="24"/>
                <w:szCs w:val="24"/>
              </w:rPr>
              <w:t>亚洲（不含中国香港、中国澳门）</w:t>
            </w:r>
          </w:p>
        </w:tc>
      </w:tr>
      <w:tr w14:paraId="5DDA522E">
        <w:tblPrEx>
          <w:tblCellMar>
            <w:top w:w="0" w:type="dxa"/>
            <w:left w:w="108" w:type="dxa"/>
            <w:bottom w:w="0" w:type="dxa"/>
            <w:right w:w="108" w:type="dxa"/>
          </w:tblCellMar>
        </w:tblPrEx>
        <w:trPr>
          <w:trHeight w:val="636" w:hRule="atLeast"/>
        </w:trPr>
        <w:tc>
          <w:tcPr>
            <w:tcW w:w="1555" w:type="dxa"/>
            <w:tcBorders>
              <w:top w:val="nil"/>
              <w:left w:val="single" w:color="auto" w:sz="4" w:space="0"/>
              <w:bottom w:val="single" w:color="auto" w:sz="4" w:space="0"/>
              <w:right w:val="single" w:color="auto" w:sz="4" w:space="0"/>
            </w:tcBorders>
            <w:shd w:val="clear" w:color="auto" w:fill="auto"/>
            <w:vAlign w:val="center"/>
          </w:tcPr>
          <w:p w14:paraId="06575785">
            <w:pPr>
              <w:widowControl/>
              <w:adjustRightInd/>
              <w:snapToGrid/>
              <w:spacing w:line="240" w:lineRule="auto"/>
              <w:jc w:val="center"/>
              <w:rPr>
                <w:rFonts w:hint="eastAsia" w:ascii="仿宋_GB2312" w:hAnsi="等线" w:cs="宋体"/>
                <w:color w:val="auto"/>
                <w:kern w:val="0"/>
                <w:sz w:val="24"/>
                <w:szCs w:val="24"/>
              </w:rPr>
            </w:pPr>
            <w:r>
              <w:rPr>
                <w:rFonts w:hint="eastAsia" w:ascii="仿宋_GB2312" w:hAnsi="等线" w:cs="宋体"/>
                <w:color w:val="auto"/>
                <w:kern w:val="0"/>
                <w:sz w:val="24"/>
                <w:szCs w:val="24"/>
              </w:rPr>
              <w:t>线下参会</w:t>
            </w:r>
          </w:p>
        </w:tc>
        <w:tc>
          <w:tcPr>
            <w:tcW w:w="2126" w:type="dxa"/>
            <w:tcBorders>
              <w:top w:val="single" w:color="auto" w:sz="4" w:space="0"/>
              <w:left w:val="nil"/>
              <w:bottom w:val="single" w:color="auto" w:sz="4" w:space="0"/>
              <w:right w:val="single" w:color="000000" w:sz="4" w:space="0"/>
            </w:tcBorders>
            <w:shd w:val="clear" w:color="auto" w:fill="auto"/>
            <w:vAlign w:val="center"/>
          </w:tcPr>
          <w:p w14:paraId="5FC5481B">
            <w:pPr>
              <w:widowControl/>
              <w:adjustRightInd/>
              <w:snapToGrid/>
              <w:spacing w:line="240" w:lineRule="auto"/>
              <w:jc w:val="center"/>
              <w:rPr>
                <w:rFonts w:eastAsia="等线" w:cs="Times New Roman"/>
                <w:color w:val="auto"/>
                <w:kern w:val="0"/>
                <w:sz w:val="24"/>
                <w:szCs w:val="24"/>
              </w:rPr>
            </w:pPr>
            <w:r>
              <w:rPr>
                <w:rFonts w:eastAsia="等线" w:cs="Times New Roman"/>
                <w:color w:val="auto"/>
                <w:kern w:val="0"/>
                <w:sz w:val="24"/>
                <w:szCs w:val="24"/>
              </w:rPr>
              <w:t>1</w:t>
            </w:r>
            <w:r>
              <w:rPr>
                <w:rFonts w:hint="eastAsia" w:ascii="仿宋_GB2312" w:cs="Times New Roman"/>
                <w:color w:val="auto"/>
                <w:kern w:val="0"/>
                <w:sz w:val="24"/>
                <w:szCs w:val="24"/>
              </w:rPr>
              <w:t>0</w:t>
            </w:r>
            <w:r>
              <w:rPr>
                <w:rFonts w:ascii="仿宋_GB2312" w:cs="Times New Roman"/>
                <w:color w:val="auto"/>
                <w:kern w:val="0"/>
                <w:sz w:val="24"/>
                <w:szCs w:val="24"/>
              </w:rPr>
              <w:t>000</w:t>
            </w:r>
            <w:r>
              <w:rPr>
                <w:rFonts w:hint="eastAsia" w:ascii="仿宋_GB2312" w:cs="Times New Roman"/>
                <w:color w:val="auto"/>
                <w:kern w:val="0"/>
                <w:sz w:val="24"/>
                <w:szCs w:val="24"/>
              </w:rPr>
              <w:t>元以内</w:t>
            </w:r>
          </w:p>
        </w:tc>
        <w:tc>
          <w:tcPr>
            <w:tcW w:w="2126" w:type="dxa"/>
            <w:tcBorders>
              <w:top w:val="single" w:color="auto" w:sz="4" w:space="0"/>
              <w:left w:val="nil"/>
              <w:bottom w:val="single" w:color="auto" w:sz="4" w:space="0"/>
              <w:right w:val="single" w:color="000000" w:sz="4" w:space="0"/>
            </w:tcBorders>
            <w:shd w:val="clear" w:color="auto" w:fill="auto"/>
            <w:vAlign w:val="center"/>
          </w:tcPr>
          <w:p w14:paraId="2E6C15E4">
            <w:pPr>
              <w:widowControl/>
              <w:adjustRightInd/>
              <w:snapToGrid/>
              <w:spacing w:line="240" w:lineRule="auto"/>
              <w:jc w:val="center"/>
              <w:rPr>
                <w:rFonts w:eastAsia="等线" w:cs="Times New Roman"/>
                <w:color w:val="auto"/>
                <w:kern w:val="0"/>
                <w:sz w:val="24"/>
                <w:szCs w:val="24"/>
              </w:rPr>
            </w:pPr>
            <w:r>
              <w:rPr>
                <w:rFonts w:hint="eastAsia" w:ascii="仿宋_GB2312" w:cs="Times New Roman"/>
                <w:color w:val="auto"/>
                <w:kern w:val="0"/>
                <w:sz w:val="24"/>
                <w:szCs w:val="24"/>
              </w:rPr>
              <w:t>8</w:t>
            </w:r>
            <w:r>
              <w:rPr>
                <w:rFonts w:ascii="仿宋_GB2312" w:cs="Times New Roman"/>
                <w:color w:val="auto"/>
                <w:kern w:val="0"/>
                <w:sz w:val="24"/>
                <w:szCs w:val="24"/>
              </w:rPr>
              <w:t>000</w:t>
            </w:r>
            <w:r>
              <w:rPr>
                <w:rFonts w:hint="eastAsia" w:ascii="仿宋_GB2312" w:cs="Times New Roman"/>
                <w:color w:val="auto"/>
                <w:kern w:val="0"/>
                <w:sz w:val="24"/>
                <w:szCs w:val="24"/>
              </w:rPr>
              <w:t>元以内</w:t>
            </w:r>
          </w:p>
        </w:tc>
        <w:tc>
          <w:tcPr>
            <w:tcW w:w="2268" w:type="dxa"/>
            <w:tcBorders>
              <w:top w:val="single" w:color="auto" w:sz="4" w:space="0"/>
              <w:left w:val="nil"/>
              <w:bottom w:val="single" w:color="auto" w:sz="4" w:space="0"/>
              <w:right w:val="single" w:color="000000" w:sz="4" w:space="0"/>
            </w:tcBorders>
            <w:shd w:val="clear" w:color="auto" w:fill="auto"/>
            <w:vAlign w:val="center"/>
          </w:tcPr>
          <w:p w14:paraId="03909CC1">
            <w:pPr>
              <w:widowControl/>
              <w:adjustRightInd/>
              <w:snapToGrid/>
              <w:spacing w:line="240" w:lineRule="auto"/>
              <w:jc w:val="center"/>
              <w:rPr>
                <w:rFonts w:eastAsia="等线" w:cs="Times New Roman"/>
                <w:color w:val="auto"/>
                <w:kern w:val="0"/>
                <w:sz w:val="24"/>
                <w:szCs w:val="24"/>
              </w:rPr>
            </w:pPr>
            <w:r>
              <w:rPr>
                <w:rFonts w:eastAsia="等线" w:cs="Times New Roman"/>
                <w:color w:val="auto"/>
                <w:kern w:val="0"/>
                <w:sz w:val="24"/>
                <w:szCs w:val="24"/>
              </w:rPr>
              <w:t>4000</w:t>
            </w:r>
            <w:r>
              <w:rPr>
                <w:rFonts w:hint="eastAsia" w:ascii="仿宋_GB2312" w:cs="Times New Roman"/>
                <w:color w:val="auto"/>
                <w:kern w:val="0"/>
                <w:sz w:val="24"/>
                <w:szCs w:val="24"/>
              </w:rPr>
              <w:t>元以内</w:t>
            </w:r>
          </w:p>
        </w:tc>
      </w:tr>
      <w:tr w14:paraId="3A2F3F65">
        <w:tblPrEx>
          <w:tblCellMar>
            <w:top w:w="0" w:type="dxa"/>
            <w:left w:w="108" w:type="dxa"/>
            <w:bottom w:w="0" w:type="dxa"/>
            <w:right w:w="108" w:type="dxa"/>
          </w:tblCellMar>
        </w:tblPrEx>
        <w:trPr>
          <w:trHeight w:val="612" w:hRule="atLeast"/>
        </w:trPr>
        <w:tc>
          <w:tcPr>
            <w:tcW w:w="1555" w:type="dxa"/>
            <w:tcBorders>
              <w:top w:val="nil"/>
              <w:left w:val="single" w:color="auto" w:sz="4" w:space="0"/>
              <w:bottom w:val="single" w:color="auto" w:sz="4" w:space="0"/>
              <w:right w:val="single" w:color="auto" w:sz="4" w:space="0"/>
            </w:tcBorders>
            <w:shd w:val="clear" w:color="auto" w:fill="auto"/>
            <w:noWrap/>
            <w:vAlign w:val="center"/>
          </w:tcPr>
          <w:p w14:paraId="1B8FA626">
            <w:pPr>
              <w:widowControl/>
              <w:adjustRightInd/>
              <w:snapToGrid/>
              <w:spacing w:line="240" w:lineRule="auto"/>
              <w:jc w:val="center"/>
              <w:rPr>
                <w:rFonts w:hint="eastAsia" w:ascii="仿宋_GB2312" w:hAnsi="等线" w:cs="宋体"/>
                <w:color w:val="auto"/>
                <w:kern w:val="0"/>
                <w:sz w:val="24"/>
                <w:szCs w:val="24"/>
              </w:rPr>
            </w:pPr>
            <w:r>
              <w:rPr>
                <w:rFonts w:hint="eastAsia" w:ascii="仿宋_GB2312" w:hAnsi="等线" w:cs="宋体"/>
                <w:color w:val="auto"/>
                <w:kern w:val="0"/>
                <w:sz w:val="24"/>
                <w:szCs w:val="24"/>
              </w:rPr>
              <w:t>线上参会</w:t>
            </w:r>
          </w:p>
        </w:tc>
        <w:tc>
          <w:tcPr>
            <w:tcW w:w="6520" w:type="dxa"/>
            <w:gridSpan w:val="3"/>
            <w:tcBorders>
              <w:top w:val="single" w:color="auto" w:sz="4" w:space="0"/>
              <w:left w:val="nil"/>
              <w:bottom w:val="single" w:color="auto" w:sz="4" w:space="0"/>
              <w:right w:val="single" w:color="000000" w:sz="4" w:space="0"/>
            </w:tcBorders>
            <w:shd w:val="clear" w:color="auto" w:fill="auto"/>
            <w:noWrap/>
            <w:vAlign w:val="center"/>
          </w:tcPr>
          <w:p w14:paraId="70E5C7CF">
            <w:pPr>
              <w:widowControl/>
              <w:adjustRightInd/>
              <w:snapToGrid/>
              <w:spacing w:line="240" w:lineRule="auto"/>
              <w:jc w:val="center"/>
              <w:rPr>
                <w:rFonts w:eastAsia="等线" w:cs="Times New Roman"/>
                <w:color w:val="auto"/>
                <w:kern w:val="0"/>
                <w:sz w:val="24"/>
                <w:szCs w:val="24"/>
              </w:rPr>
            </w:pPr>
            <w:r>
              <w:rPr>
                <w:rFonts w:eastAsia="等线" w:cs="Times New Roman"/>
                <w:color w:val="auto"/>
                <w:kern w:val="0"/>
                <w:sz w:val="24"/>
                <w:szCs w:val="24"/>
              </w:rPr>
              <w:t>2000</w:t>
            </w:r>
            <w:r>
              <w:rPr>
                <w:rFonts w:hint="eastAsia" w:ascii="仿宋_GB2312" w:cs="Times New Roman"/>
                <w:color w:val="auto"/>
                <w:kern w:val="0"/>
                <w:sz w:val="24"/>
                <w:szCs w:val="24"/>
              </w:rPr>
              <w:t>元以内</w:t>
            </w:r>
          </w:p>
        </w:tc>
      </w:tr>
    </w:tbl>
    <w:p w14:paraId="419FCE72">
      <w:pPr>
        <w:spacing w:line="540" w:lineRule="exact"/>
        <w:ind w:firstLine="624"/>
        <w:jc w:val="both"/>
        <w:rPr>
          <w:rFonts w:cs="Times New Roman"/>
          <w:color w:val="auto"/>
          <w:szCs w:val="32"/>
        </w:rPr>
      </w:pPr>
    </w:p>
    <w:p w14:paraId="2ABFD391">
      <w:pPr>
        <w:spacing w:line="540" w:lineRule="exact"/>
        <w:ind w:firstLine="624"/>
        <w:jc w:val="both"/>
        <w:rPr>
          <w:rFonts w:cs="Times New Roman"/>
          <w:color w:val="auto"/>
          <w:szCs w:val="32"/>
        </w:rPr>
      </w:pPr>
      <w:r>
        <w:rPr>
          <w:rFonts w:hint="eastAsia" w:cs="Times New Roman"/>
          <w:color w:val="auto"/>
          <w:szCs w:val="32"/>
        </w:rPr>
        <w:t>应重点支持应邀做口头报告的参会形式。经费</w:t>
      </w:r>
      <w:r>
        <w:rPr>
          <w:rFonts w:cs="Times New Roman"/>
          <w:color w:val="auto"/>
          <w:szCs w:val="32"/>
        </w:rPr>
        <w:t>主要用于受资助人在参加学术会议期间的交通费、会议注册费、签证</w:t>
      </w:r>
      <w:r>
        <w:rPr>
          <w:rFonts w:hint="eastAsia" w:cs="Times New Roman"/>
          <w:color w:val="auto"/>
          <w:szCs w:val="32"/>
        </w:rPr>
        <w:t>费等</w:t>
      </w:r>
      <w:r>
        <w:rPr>
          <w:rFonts w:cs="Times New Roman"/>
          <w:color w:val="auto"/>
          <w:szCs w:val="32"/>
        </w:rPr>
        <w:t>。</w:t>
      </w:r>
      <w:r>
        <w:rPr>
          <w:rFonts w:hint="eastAsia" w:cs="Times New Roman"/>
          <w:color w:val="auto"/>
          <w:szCs w:val="32"/>
        </w:rPr>
        <w:t>超出学校资助的部分，请培养单位和导师予以配套资助，或参会人自理。具体资助金额由培养单位统筹审批确定，</w:t>
      </w:r>
      <w:r>
        <w:rPr>
          <w:rFonts w:cs="Times New Roman"/>
          <w:color w:val="auto"/>
          <w:szCs w:val="32"/>
        </w:rPr>
        <w:t>参会完成任务</w:t>
      </w:r>
      <w:r>
        <w:rPr>
          <w:rFonts w:hint="eastAsia" w:cs="Times New Roman"/>
          <w:color w:val="auto"/>
          <w:szCs w:val="32"/>
        </w:rPr>
        <w:t>后申请人</w:t>
      </w:r>
      <w:r>
        <w:rPr>
          <w:rFonts w:cs="Times New Roman"/>
          <w:color w:val="auto"/>
          <w:szCs w:val="32"/>
        </w:rPr>
        <w:t>凭支出票据</w:t>
      </w:r>
      <w:r>
        <w:rPr>
          <w:rFonts w:hint="eastAsia" w:cs="Times New Roman"/>
          <w:color w:val="auto"/>
          <w:szCs w:val="32"/>
        </w:rPr>
        <w:t>向培养单位申请结项并</w:t>
      </w:r>
      <w:r>
        <w:rPr>
          <w:rFonts w:cs="Times New Roman"/>
          <w:color w:val="auto"/>
          <w:szCs w:val="32"/>
        </w:rPr>
        <w:t>进行实报实销。</w:t>
      </w:r>
    </w:p>
    <w:p w14:paraId="1C242796">
      <w:pPr>
        <w:spacing w:line="540" w:lineRule="exact"/>
        <w:ind w:firstLine="624"/>
        <w:jc w:val="both"/>
        <w:rPr>
          <w:rFonts w:eastAsia="黑体" w:cs="Times New Roman"/>
          <w:color w:val="auto"/>
          <w:szCs w:val="32"/>
        </w:rPr>
      </w:pPr>
      <w:r>
        <w:rPr>
          <w:rFonts w:eastAsia="黑体" w:cs="Times New Roman"/>
          <w:color w:val="auto"/>
          <w:szCs w:val="32"/>
        </w:rPr>
        <w:t>四、申请与审批程序</w:t>
      </w:r>
    </w:p>
    <w:p w14:paraId="320F6B07">
      <w:pPr>
        <w:spacing w:line="540" w:lineRule="exact"/>
        <w:ind w:firstLine="624"/>
        <w:jc w:val="both"/>
        <w:rPr>
          <w:rFonts w:cs="Times New Roman"/>
          <w:color w:val="auto"/>
          <w:szCs w:val="32"/>
        </w:rPr>
      </w:pPr>
      <w:r>
        <w:rPr>
          <w:rFonts w:cs="Times New Roman"/>
          <w:color w:val="auto"/>
          <w:szCs w:val="32"/>
        </w:rPr>
        <w:t>1. 申请人须</w:t>
      </w:r>
      <w:r>
        <w:rPr>
          <w:rFonts w:hint="eastAsia" w:cs="Times New Roman"/>
          <w:color w:val="auto"/>
          <w:szCs w:val="32"/>
        </w:rPr>
        <w:t>提前4</w:t>
      </w:r>
      <w:r>
        <w:rPr>
          <w:rFonts w:cs="Times New Roman"/>
          <w:color w:val="auto"/>
          <w:szCs w:val="32"/>
        </w:rPr>
        <w:t>5</w:t>
      </w:r>
      <w:r>
        <w:rPr>
          <w:rFonts w:hint="eastAsia" w:cs="Times New Roman"/>
          <w:color w:val="auto"/>
          <w:szCs w:val="32"/>
        </w:rPr>
        <w:t>天</w:t>
      </w:r>
      <w:r>
        <w:rPr>
          <w:rFonts w:cs="Times New Roman"/>
          <w:color w:val="auto"/>
          <w:szCs w:val="32"/>
        </w:rPr>
        <w:t xml:space="preserve">在中山大学网上办事大厅平台（USC系统）提交因公临时出国（境）申请。 </w:t>
      </w:r>
    </w:p>
    <w:p w14:paraId="1489B49A">
      <w:pPr>
        <w:spacing w:line="540" w:lineRule="exact"/>
        <w:ind w:firstLine="624" w:firstLineChars="200"/>
        <w:jc w:val="both"/>
        <w:rPr>
          <w:rFonts w:cs="Times New Roman"/>
          <w:color w:val="auto"/>
          <w:szCs w:val="32"/>
        </w:rPr>
      </w:pPr>
      <w:bookmarkStart w:id="0" w:name="_Hlk155193245"/>
      <w:r>
        <w:rPr>
          <w:rFonts w:cs="Times New Roman"/>
          <w:color w:val="auto"/>
          <w:szCs w:val="32"/>
        </w:rPr>
        <w:t>申请人</w:t>
      </w:r>
      <w:r>
        <w:rPr>
          <w:rFonts w:hint="eastAsia" w:cs="Times New Roman"/>
          <w:color w:val="auto"/>
          <w:szCs w:val="32"/>
        </w:rPr>
        <w:t>在</w:t>
      </w:r>
      <w:r>
        <w:rPr>
          <w:rFonts w:cs="Times New Roman"/>
          <w:color w:val="auto"/>
          <w:szCs w:val="32"/>
        </w:rPr>
        <w:t>USC</w:t>
      </w:r>
      <w:r>
        <w:rPr>
          <w:rFonts w:hint="eastAsia" w:cs="Times New Roman"/>
          <w:color w:val="auto"/>
          <w:szCs w:val="32"/>
        </w:rPr>
        <w:t>上申请</w:t>
      </w:r>
      <w:r>
        <w:rPr>
          <w:rFonts w:cs="Times New Roman"/>
          <w:color w:val="auto"/>
          <w:szCs w:val="32"/>
        </w:rPr>
        <w:t>因公临时出国（境）</w:t>
      </w:r>
      <w:r>
        <w:rPr>
          <w:rFonts w:hint="eastAsia" w:cs="Times New Roman"/>
          <w:color w:val="auto"/>
          <w:szCs w:val="32"/>
        </w:rPr>
        <w:t>时，如</w:t>
      </w:r>
      <w:r>
        <w:rPr>
          <w:rFonts w:cs="Times New Roman"/>
          <w:color w:val="auto"/>
          <w:szCs w:val="32"/>
        </w:rPr>
        <w:t>申请</w:t>
      </w:r>
      <w:r>
        <w:rPr>
          <w:rFonts w:hint="eastAsia" w:cs="Times New Roman"/>
          <w:color w:val="auto"/>
          <w:szCs w:val="32"/>
        </w:rPr>
        <w:t>研究生参加国际学术会议资助计划专项，</w:t>
      </w:r>
      <w:r>
        <w:rPr>
          <w:rFonts w:cs="Times New Roman"/>
          <w:color w:val="auto"/>
          <w:szCs w:val="32"/>
        </w:rPr>
        <w:t>须填写</w:t>
      </w:r>
      <w:r>
        <w:rPr>
          <w:rFonts w:hint="eastAsia" w:cs="Times New Roman"/>
          <w:color w:val="auto"/>
          <w:szCs w:val="32"/>
        </w:rPr>
        <w:t>各培养单位专项</w:t>
      </w:r>
      <w:r>
        <w:rPr>
          <w:rFonts w:cs="Times New Roman"/>
          <w:color w:val="auto"/>
          <w:szCs w:val="32"/>
        </w:rPr>
        <w:t>资助经费</w:t>
      </w:r>
      <w:r>
        <w:rPr>
          <w:rFonts w:hint="eastAsia" w:cs="Times New Roman"/>
          <w:color w:val="auto"/>
          <w:szCs w:val="32"/>
        </w:rPr>
        <w:t>项目</w:t>
      </w:r>
      <w:r>
        <w:rPr>
          <w:rFonts w:cs="Times New Roman"/>
          <w:color w:val="auto"/>
          <w:szCs w:val="32"/>
        </w:rPr>
        <w:t>号信息（</w:t>
      </w:r>
      <w:r>
        <w:rPr>
          <w:rFonts w:hint="eastAsia" w:cs="Times New Roman"/>
          <w:color w:val="auto"/>
          <w:szCs w:val="32"/>
        </w:rPr>
        <w:t>详见附件1</w:t>
      </w:r>
      <w:r>
        <w:rPr>
          <w:rFonts w:cs="Times New Roman"/>
          <w:color w:val="auto"/>
          <w:szCs w:val="32"/>
        </w:rPr>
        <w:t>）</w:t>
      </w:r>
      <w:r>
        <w:rPr>
          <w:rFonts w:hint="eastAsia" w:cs="Times New Roman"/>
          <w:color w:val="auto"/>
          <w:szCs w:val="32"/>
        </w:rPr>
        <w:t>，由培养单位予以审批</w:t>
      </w:r>
      <w:r>
        <w:rPr>
          <w:rFonts w:cs="Times New Roman"/>
          <w:color w:val="auto"/>
          <w:szCs w:val="32"/>
        </w:rPr>
        <w:t>。</w:t>
      </w:r>
      <w:r>
        <w:rPr>
          <w:rFonts w:hint="eastAsia" w:cs="Times New Roman"/>
          <w:color w:val="auto"/>
          <w:szCs w:val="32"/>
        </w:rPr>
        <w:t>申请时</w:t>
      </w:r>
      <w:r>
        <w:rPr>
          <w:rFonts w:cs="Times New Roman"/>
          <w:color w:val="auto"/>
          <w:szCs w:val="32"/>
        </w:rPr>
        <w:t>提交的邀请函须为论文录用函或会议邀请函（内容中含申请人姓名、单位、论文题目、参会形式等重要信息，请参照附件2中邀请函格式准备）。</w:t>
      </w:r>
    </w:p>
    <w:bookmarkEnd w:id="0"/>
    <w:p w14:paraId="01E22F3F">
      <w:pPr>
        <w:spacing w:line="540" w:lineRule="exact"/>
        <w:ind w:firstLine="624"/>
        <w:jc w:val="both"/>
        <w:rPr>
          <w:rFonts w:cs="Times New Roman"/>
          <w:color w:val="auto"/>
          <w:szCs w:val="32"/>
        </w:rPr>
      </w:pPr>
      <w:r>
        <w:rPr>
          <w:rFonts w:cs="Times New Roman"/>
          <w:color w:val="auto"/>
          <w:szCs w:val="32"/>
        </w:rPr>
        <w:t>2. 出国（境）申报获得批准后，可按照申报计划安排参会事宜。</w:t>
      </w:r>
    </w:p>
    <w:p w14:paraId="5D3B394F">
      <w:pPr>
        <w:spacing w:line="540" w:lineRule="exact"/>
        <w:ind w:firstLine="624"/>
        <w:jc w:val="both"/>
        <w:rPr>
          <w:rFonts w:cs="Times New Roman"/>
          <w:color w:val="auto"/>
          <w:szCs w:val="32"/>
        </w:rPr>
      </w:pPr>
      <w:r>
        <w:rPr>
          <w:rFonts w:cs="Times New Roman"/>
          <w:color w:val="auto"/>
          <w:szCs w:val="32"/>
        </w:rPr>
        <w:t>3. 参会回国（境）后，</w:t>
      </w:r>
      <w:r>
        <w:rPr>
          <w:rFonts w:hint="eastAsia" w:cs="Times New Roman"/>
          <w:color w:val="auto"/>
          <w:szCs w:val="32"/>
        </w:rPr>
        <w:t>申请人</w:t>
      </w:r>
      <w:r>
        <w:rPr>
          <w:rFonts w:cs="Times New Roman"/>
          <w:color w:val="auto"/>
          <w:szCs w:val="32"/>
        </w:rPr>
        <w:t>须在</w:t>
      </w:r>
      <w:r>
        <w:rPr>
          <w:rFonts w:hint="eastAsia" w:cs="Times New Roman"/>
          <w:color w:val="auto"/>
          <w:szCs w:val="32"/>
        </w:rPr>
        <w:t>一周</w:t>
      </w:r>
      <w:r>
        <w:rPr>
          <w:rFonts w:cs="Times New Roman"/>
          <w:color w:val="auto"/>
          <w:szCs w:val="32"/>
        </w:rPr>
        <w:t>内在USC上</w:t>
      </w:r>
      <w:r>
        <w:rPr>
          <w:rFonts w:hint="eastAsia" w:cs="Times New Roman"/>
          <w:color w:val="auto"/>
          <w:szCs w:val="32"/>
        </w:rPr>
        <w:t>提交</w:t>
      </w:r>
      <w:r>
        <w:rPr>
          <w:rFonts w:cs="Times New Roman"/>
          <w:color w:val="auto"/>
          <w:szCs w:val="32"/>
        </w:rPr>
        <w:t>回国（境）返校申请。</w:t>
      </w:r>
      <w:r>
        <w:rPr>
          <w:rFonts w:hint="eastAsia" w:cs="Times New Roman"/>
          <w:color w:val="auto"/>
          <w:szCs w:val="32"/>
        </w:rPr>
        <w:t>返校审批通过后，申请人在</w:t>
      </w:r>
      <w:r>
        <w:rPr>
          <w:rFonts w:cs="Times New Roman"/>
          <w:color w:val="auto"/>
          <w:szCs w:val="32"/>
        </w:rPr>
        <w:t>三周内</w:t>
      </w:r>
      <w:r>
        <w:rPr>
          <w:rFonts w:hint="eastAsia" w:cs="Times New Roman"/>
          <w:color w:val="auto"/>
          <w:szCs w:val="32"/>
        </w:rPr>
        <w:t>联系所在培养单位负责该专项经费报销事宜的老师，按培养单位要求的流程完成结项和报销。报销所需材料如下：</w:t>
      </w:r>
    </w:p>
    <w:p w14:paraId="44127919">
      <w:pPr>
        <w:spacing w:line="540" w:lineRule="exact"/>
        <w:ind w:firstLine="624"/>
        <w:jc w:val="both"/>
        <w:rPr>
          <w:rFonts w:cs="Times New Roman"/>
          <w:color w:val="auto"/>
          <w:szCs w:val="32"/>
        </w:rPr>
      </w:pPr>
      <w:bookmarkStart w:id="1" w:name="_Hlk138688015"/>
      <w:r>
        <w:rPr>
          <w:rFonts w:cs="Times New Roman"/>
          <w:color w:val="auto"/>
          <w:szCs w:val="32"/>
        </w:rPr>
        <w:t>（1）</w:t>
      </w:r>
      <w:r>
        <w:rPr>
          <w:rFonts w:hint="eastAsia" w:cs="Times New Roman"/>
          <w:color w:val="auto"/>
          <w:szCs w:val="32"/>
        </w:rPr>
        <w:t>填写并</w:t>
      </w:r>
      <w:r>
        <w:rPr>
          <w:rFonts w:cs="Times New Roman"/>
          <w:color w:val="auto"/>
          <w:szCs w:val="32"/>
        </w:rPr>
        <w:t>打印</w:t>
      </w:r>
      <w:r>
        <w:rPr>
          <w:rFonts w:hint="eastAsia" w:cs="Times New Roman"/>
          <w:color w:val="auto"/>
          <w:szCs w:val="32"/>
        </w:rPr>
        <w:t>“</w:t>
      </w:r>
      <w:r>
        <w:rPr>
          <w:rFonts w:hint="eastAsia"/>
          <w:color w:val="auto"/>
          <w:kern w:val="0"/>
          <w:szCs w:val="32"/>
        </w:rPr>
        <w:t>中山大学研究生参加国际学术会议经费资助申请和结项表</w:t>
      </w:r>
      <w:r>
        <w:rPr>
          <w:rFonts w:hint="eastAsia" w:cs="Times New Roman"/>
          <w:color w:val="auto"/>
          <w:szCs w:val="32"/>
        </w:rPr>
        <w:t>”（附件</w:t>
      </w:r>
      <w:r>
        <w:rPr>
          <w:rFonts w:cs="Times New Roman"/>
          <w:color w:val="auto"/>
          <w:szCs w:val="32"/>
        </w:rPr>
        <w:t>3</w:t>
      </w:r>
      <w:r>
        <w:rPr>
          <w:rFonts w:hint="eastAsia" w:cs="Times New Roman"/>
          <w:color w:val="auto"/>
          <w:szCs w:val="32"/>
        </w:rPr>
        <w:t>）</w:t>
      </w:r>
      <w:r>
        <w:rPr>
          <w:rFonts w:cs="Times New Roman"/>
          <w:color w:val="auto"/>
          <w:szCs w:val="32"/>
        </w:rPr>
        <w:t>；</w:t>
      </w:r>
    </w:p>
    <w:p w14:paraId="13BC860E">
      <w:pPr>
        <w:spacing w:line="540" w:lineRule="exact"/>
        <w:ind w:firstLine="624"/>
        <w:jc w:val="both"/>
        <w:rPr>
          <w:rFonts w:cs="Times New Roman"/>
          <w:color w:val="auto"/>
          <w:szCs w:val="32"/>
        </w:rPr>
      </w:pPr>
      <w:r>
        <w:rPr>
          <w:rFonts w:cs="Times New Roman"/>
          <w:color w:val="auto"/>
          <w:szCs w:val="32"/>
        </w:rPr>
        <w:t>（2）</w:t>
      </w:r>
      <w:bookmarkStart w:id="2" w:name="_Hlk155171621"/>
      <w:r>
        <w:rPr>
          <w:rFonts w:hint="eastAsia" w:cs="Times New Roman"/>
          <w:color w:val="auto"/>
          <w:szCs w:val="32"/>
        </w:rPr>
        <w:t>USC上下载打印的</w:t>
      </w:r>
      <w:r>
        <w:rPr>
          <w:rFonts w:cs="Times New Roman"/>
          <w:color w:val="auto"/>
          <w:szCs w:val="32"/>
        </w:rPr>
        <w:t>中山大学研究生因公临时出国（境）申报表和中山大学因公出国（境）任务批件</w:t>
      </w:r>
      <w:r>
        <w:rPr>
          <w:rFonts w:hint="eastAsia" w:cs="Times New Roman"/>
          <w:color w:val="auto"/>
          <w:szCs w:val="32"/>
        </w:rPr>
        <w:t>（如无此批件则无需提供）</w:t>
      </w:r>
      <w:bookmarkEnd w:id="2"/>
      <w:r>
        <w:rPr>
          <w:rFonts w:cs="Times New Roman"/>
          <w:color w:val="auto"/>
          <w:szCs w:val="32"/>
        </w:rPr>
        <w:t>；</w:t>
      </w:r>
    </w:p>
    <w:p w14:paraId="426F95FC">
      <w:pPr>
        <w:spacing w:line="540" w:lineRule="exact"/>
        <w:ind w:firstLine="624"/>
        <w:jc w:val="both"/>
        <w:rPr>
          <w:rFonts w:cs="Times New Roman"/>
          <w:color w:val="auto"/>
          <w:szCs w:val="32"/>
        </w:rPr>
      </w:pPr>
      <w:r>
        <w:rPr>
          <w:rFonts w:cs="Times New Roman"/>
          <w:color w:val="auto"/>
          <w:szCs w:val="32"/>
        </w:rPr>
        <w:t>（3）会议发表论文全文或摘要</w:t>
      </w:r>
      <w:r>
        <w:rPr>
          <w:rFonts w:hint="eastAsia" w:cs="Times New Roman"/>
          <w:color w:val="auto"/>
          <w:szCs w:val="32"/>
        </w:rPr>
        <w:t>（须含作者信息）</w:t>
      </w:r>
      <w:r>
        <w:rPr>
          <w:rFonts w:cs="Times New Roman"/>
          <w:color w:val="auto"/>
          <w:szCs w:val="32"/>
        </w:rPr>
        <w:t>；</w:t>
      </w:r>
    </w:p>
    <w:p w14:paraId="4DD9C8A7">
      <w:pPr>
        <w:spacing w:line="540" w:lineRule="exact"/>
        <w:ind w:firstLine="624"/>
        <w:jc w:val="both"/>
        <w:rPr>
          <w:rFonts w:cs="Times New Roman"/>
          <w:color w:val="auto"/>
          <w:szCs w:val="32"/>
        </w:rPr>
      </w:pPr>
      <w:r>
        <w:rPr>
          <w:rFonts w:cs="Times New Roman"/>
          <w:color w:val="auto"/>
          <w:szCs w:val="32"/>
        </w:rPr>
        <w:t>（4）</w:t>
      </w:r>
      <w:bookmarkStart w:id="3" w:name="_Hlk155171610"/>
      <w:r>
        <w:rPr>
          <w:rFonts w:cs="Times New Roman"/>
          <w:color w:val="auto"/>
          <w:szCs w:val="32"/>
        </w:rPr>
        <w:t>参会证明材料，如</w:t>
      </w:r>
      <w:r>
        <w:rPr>
          <w:rFonts w:hint="eastAsia" w:cs="Times New Roman"/>
          <w:color w:val="auto"/>
          <w:szCs w:val="32"/>
        </w:rPr>
        <w:t>参会现场作口头</w:t>
      </w:r>
      <w:r>
        <w:rPr>
          <w:rFonts w:cs="Times New Roman"/>
          <w:color w:val="auto"/>
          <w:szCs w:val="32"/>
        </w:rPr>
        <w:t>报告时的照片、与展板的合影等黑白打印材料；</w:t>
      </w:r>
      <w:bookmarkEnd w:id="3"/>
    </w:p>
    <w:p w14:paraId="36F37BEB">
      <w:pPr>
        <w:spacing w:line="540" w:lineRule="exact"/>
        <w:ind w:firstLine="624"/>
        <w:jc w:val="both"/>
        <w:rPr>
          <w:rFonts w:cs="Times New Roman"/>
          <w:color w:val="auto"/>
          <w:szCs w:val="32"/>
        </w:rPr>
      </w:pPr>
      <w:r>
        <w:rPr>
          <w:rFonts w:cs="Times New Roman"/>
          <w:color w:val="auto"/>
          <w:szCs w:val="32"/>
        </w:rPr>
        <w:t>（5）复印护照首页</w:t>
      </w:r>
      <w:r>
        <w:rPr>
          <w:rFonts w:hint="eastAsia" w:cs="Times New Roman"/>
          <w:color w:val="auto"/>
          <w:szCs w:val="32"/>
        </w:rPr>
        <w:t>以及</w:t>
      </w:r>
      <w:r>
        <w:rPr>
          <w:rFonts w:cs="Times New Roman"/>
          <w:color w:val="auto"/>
          <w:szCs w:val="32"/>
        </w:rPr>
        <w:t>中国海关出入国（境）</w:t>
      </w:r>
      <w:r>
        <w:rPr>
          <w:rFonts w:hint="eastAsia" w:cs="Times New Roman"/>
          <w:color w:val="auto"/>
          <w:szCs w:val="32"/>
        </w:rPr>
        <w:t>日期的盖章页</w:t>
      </w:r>
      <w:r>
        <w:rPr>
          <w:rFonts w:cs="Times New Roman"/>
          <w:color w:val="auto"/>
          <w:szCs w:val="32"/>
        </w:rPr>
        <w:t>（或支付宝链接程序上下载的出入境记录文件。网络在线会议不用提供）</w:t>
      </w:r>
      <w:r>
        <w:rPr>
          <w:rFonts w:hint="eastAsia" w:cs="Times New Roman"/>
          <w:color w:val="auto"/>
          <w:szCs w:val="32"/>
        </w:rPr>
        <w:t>复印件；</w:t>
      </w:r>
    </w:p>
    <w:p w14:paraId="35E5CAA0">
      <w:pPr>
        <w:spacing w:line="540" w:lineRule="exact"/>
        <w:ind w:firstLine="624"/>
        <w:jc w:val="both"/>
        <w:rPr>
          <w:rFonts w:cs="Times New Roman"/>
          <w:color w:val="auto"/>
          <w:szCs w:val="32"/>
        </w:rPr>
      </w:pPr>
      <w:r>
        <w:rPr>
          <w:rFonts w:cs="Times New Roman"/>
          <w:color w:val="auto"/>
          <w:szCs w:val="32"/>
        </w:rPr>
        <w:t>（6）参会实际支出证明材料（如机票往返价格单、注册费、住宿费等费用等票据的复印件）。</w:t>
      </w:r>
    </w:p>
    <w:p w14:paraId="4B9B3750">
      <w:pPr>
        <w:spacing w:line="540" w:lineRule="exact"/>
        <w:ind w:firstLine="624"/>
        <w:jc w:val="both"/>
        <w:rPr>
          <w:rFonts w:cs="Times New Roman"/>
          <w:color w:val="auto"/>
          <w:szCs w:val="32"/>
        </w:rPr>
      </w:pPr>
      <w:r>
        <w:rPr>
          <w:rFonts w:cs="Times New Roman"/>
          <w:color w:val="auto"/>
          <w:szCs w:val="32"/>
        </w:rPr>
        <w:t>上述纸质材料检查无误后，提交所在培养单位审核（含导师、2位专家及学院主管研究生教育副院长审核及加盖培养单位公章）</w:t>
      </w:r>
      <w:r>
        <w:rPr>
          <w:rFonts w:hint="eastAsia" w:cs="Times New Roman"/>
          <w:color w:val="auto"/>
          <w:szCs w:val="32"/>
        </w:rPr>
        <w:t>，再按照所在培养单位和财务处的要求完成报销手续。</w:t>
      </w:r>
      <w:bookmarkEnd w:id="1"/>
    </w:p>
    <w:p w14:paraId="1CA5D414">
      <w:pPr>
        <w:spacing w:line="540" w:lineRule="exact"/>
        <w:ind w:firstLine="624"/>
        <w:jc w:val="both"/>
        <w:rPr>
          <w:rFonts w:eastAsia="黑体" w:cs="Times New Roman"/>
          <w:color w:val="auto"/>
          <w:szCs w:val="32"/>
        </w:rPr>
      </w:pPr>
      <w:r>
        <w:rPr>
          <w:rFonts w:eastAsia="黑体" w:cs="Times New Roman"/>
          <w:color w:val="auto"/>
          <w:szCs w:val="32"/>
        </w:rPr>
        <w:t>五、其他事宜</w:t>
      </w:r>
    </w:p>
    <w:p w14:paraId="20C5B8D7">
      <w:pPr>
        <w:spacing w:line="540" w:lineRule="exact"/>
        <w:ind w:firstLine="624"/>
        <w:jc w:val="both"/>
        <w:rPr>
          <w:rFonts w:cs="Times New Roman"/>
          <w:color w:val="auto"/>
          <w:szCs w:val="32"/>
        </w:rPr>
      </w:pPr>
      <w:r>
        <w:rPr>
          <w:rFonts w:cs="Times New Roman"/>
          <w:color w:val="auto"/>
          <w:szCs w:val="32"/>
        </w:rPr>
        <w:t>1.</w:t>
      </w:r>
      <w:r>
        <w:rPr>
          <w:rFonts w:hint="eastAsia" w:cs="Times New Roman"/>
          <w:color w:val="auto"/>
          <w:szCs w:val="32"/>
        </w:rPr>
        <w:t>无论研究生是否需要申请中山大学研究生参加国际学术会议资助计划专项出访，研究生出国（境）参加国际学术会议都需要提前4</w:t>
      </w:r>
      <w:r>
        <w:rPr>
          <w:rFonts w:cs="Times New Roman"/>
          <w:color w:val="auto"/>
          <w:szCs w:val="32"/>
        </w:rPr>
        <w:t>5</w:t>
      </w:r>
      <w:r>
        <w:rPr>
          <w:rFonts w:hint="eastAsia" w:cs="Times New Roman"/>
          <w:color w:val="auto"/>
          <w:szCs w:val="32"/>
        </w:rPr>
        <w:t>天在USC上填写因公临时出国（境）申报表。申请人在</w:t>
      </w:r>
      <w:r>
        <w:rPr>
          <w:rFonts w:cs="Times New Roman"/>
          <w:color w:val="auto"/>
          <w:szCs w:val="32"/>
        </w:rPr>
        <w:t>USC</w:t>
      </w:r>
      <w:r>
        <w:rPr>
          <w:rFonts w:hint="eastAsia" w:cs="Times New Roman"/>
          <w:color w:val="auto"/>
          <w:szCs w:val="32"/>
        </w:rPr>
        <w:t>上申请</w:t>
      </w:r>
      <w:r>
        <w:rPr>
          <w:rFonts w:cs="Times New Roman"/>
          <w:color w:val="auto"/>
          <w:szCs w:val="32"/>
        </w:rPr>
        <w:t>因公临时出国（境）</w:t>
      </w:r>
      <w:r>
        <w:rPr>
          <w:rFonts w:hint="eastAsia" w:cs="Times New Roman"/>
          <w:color w:val="auto"/>
          <w:szCs w:val="32"/>
        </w:rPr>
        <w:t>时，如无需申请研究生参加国际学术会议资助计划专项，请选择“不需要”。</w:t>
      </w:r>
    </w:p>
    <w:p w14:paraId="5C50E513">
      <w:pPr>
        <w:spacing w:line="540" w:lineRule="exact"/>
        <w:ind w:firstLine="624"/>
        <w:jc w:val="both"/>
        <w:rPr>
          <w:rFonts w:cs="Times New Roman"/>
          <w:color w:val="auto"/>
          <w:szCs w:val="32"/>
        </w:rPr>
      </w:pPr>
      <w:r>
        <w:rPr>
          <w:rFonts w:cs="Times New Roman"/>
          <w:color w:val="auto"/>
          <w:szCs w:val="32"/>
        </w:rPr>
        <w:t>2. 请申请人在申请前仔细阅读</w:t>
      </w:r>
      <w:r>
        <w:rPr>
          <w:rFonts w:hint="eastAsia" w:cs="Times New Roman"/>
          <w:color w:val="auto"/>
          <w:szCs w:val="32"/>
        </w:rPr>
        <w:t>本通知</w:t>
      </w:r>
      <w:r>
        <w:rPr>
          <w:rFonts w:cs="Times New Roman"/>
          <w:color w:val="auto"/>
          <w:szCs w:val="32"/>
        </w:rPr>
        <w:t>，并参照</w:t>
      </w:r>
      <w:r>
        <w:rPr>
          <w:rFonts w:hint="eastAsia" w:cs="Times New Roman"/>
          <w:color w:val="auto"/>
          <w:szCs w:val="32"/>
        </w:rPr>
        <w:t>附件</w:t>
      </w:r>
      <w:r>
        <w:rPr>
          <w:rFonts w:cs="Times New Roman"/>
          <w:color w:val="auto"/>
          <w:szCs w:val="32"/>
        </w:rPr>
        <w:t>2</w:t>
      </w:r>
      <w:r>
        <w:rPr>
          <w:rFonts w:hint="eastAsia" w:cs="Times New Roman"/>
          <w:color w:val="auto"/>
          <w:szCs w:val="32"/>
        </w:rPr>
        <w:t>格式</w:t>
      </w:r>
      <w:r>
        <w:rPr>
          <w:rFonts w:cs="Times New Roman"/>
          <w:color w:val="auto"/>
          <w:szCs w:val="32"/>
        </w:rPr>
        <w:t>要求准备材料。</w:t>
      </w:r>
    </w:p>
    <w:p w14:paraId="2670E2FE">
      <w:pPr>
        <w:spacing w:line="540" w:lineRule="exact"/>
        <w:ind w:firstLine="624"/>
        <w:jc w:val="both"/>
        <w:rPr>
          <w:rFonts w:cs="Times New Roman"/>
          <w:color w:val="auto"/>
          <w:szCs w:val="32"/>
        </w:rPr>
      </w:pPr>
      <w:r>
        <w:rPr>
          <w:rFonts w:cs="Times New Roman"/>
          <w:color w:val="auto"/>
          <w:szCs w:val="32"/>
        </w:rPr>
        <w:t>3. 各培养单位或导师应</w:t>
      </w:r>
      <w:r>
        <w:rPr>
          <w:rFonts w:hint="eastAsia" w:cs="Times New Roman"/>
          <w:color w:val="auto"/>
          <w:szCs w:val="32"/>
        </w:rPr>
        <w:t>积极</w:t>
      </w:r>
      <w:r>
        <w:rPr>
          <w:rFonts w:cs="Times New Roman"/>
          <w:color w:val="auto"/>
          <w:szCs w:val="32"/>
        </w:rPr>
        <w:t>支持研究生参加国际学术会议</w:t>
      </w:r>
      <w:r>
        <w:rPr>
          <w:rFonts w:hint="eastAsia" w:cs="Times New Roman"/>
          <w:color w:val="auto"/>
          <w:szCs w:val="32"/>
        </w:rPr>
        <w:t>。</w:t>
      </w:r>
      <w:r>
        <w:rPr>
          <w:rFonts w:cs="Times New Roman"/>
          <w:color w:val="auto"/>
          <w:szCs w:val="32"/>
        </w:rPr>
        <w:t>申请人在USC系统中填报研究生因公临时出国（境）申请时，</w:t>
      </w:r>
      <w:r>
        <w:rPr>
          <w:rFonts w:hint="eastAsia" w:cs="Times New Roman"/>
          <w:color w:val="auto"/>
          <w:szCs w:val="32"/>
        </w:rPr>
        <w:t>如申请研究生参加国际学术资助计划专项，</w:t>
      </w:r>
      <w:r>
        <w:rPr>
          <w:rFonts w:cs="Times New Roman"/>
          <w:color w:val="auto"/>
          <w:szCs w:val="32"/>
        </w:rPr>
        <w:t>项目经费</w:t>
      </w:r>
      <w:r>
        <w:rPr>
          <w:rFonts w:hint="eastAsia" w:cs="Times New Roman"/>
          <w:color w:val="auto"/>
          <w:szCs w:val="32"/>
        </w:rPr>
        <w:t>来源除</w:t>
      </w:r>
      <w:r>
        <w:rPr>
          <w:rFonts w:cs="Times New Roman"/>
          <w:color w:val="auto"/>
          <w:szCs w:val="32"/>
        </w:rPr>
        <w:t>填写</w:t>
      </w:r>
      <w:r>
        <w:rPr>
          <w:rFonts w:hint="eastAsia" w:cs="Times New Roman"/>
          <w:color w:val="auto"/>
          <w:szCs w:val="32"/>
        </w:rPr>
        <w:t>所在培养单位的</w:t>
      </w:r>
      <w:r>
        <w:rPr>
          <w:rFonts w:cs="Times New Roman"/>
          <w:color w:val="auto"/>
          <w:szCs w:val="32"/>
        </w:rPr>
        <w:t>研究生参加国际学术交流专项经费信息</w:t>
      </w:r>
      <w:r>
        <w:rPr>
          <w:rFonts w:hint="eastAsia" w:cs="Times New Roman"/>
          <w:color w:val="auto"/>
          <w:szCs w:val="32"/>
        </w:rPr>
        <w:t>外</w:t>
      </w:r>
      <w:r>
        <w:rPr>
          <w:rFonts w:cs="Times New Roman"/>
          <w:color w:val="auto"/>
          <w:szCs w:val="32"/>
        </w:rPr>
        <w:t>，</w:t>
      </w:r>
      <w:r>
        <w:rPr>
          <w:rFonts w:hint="eastAsia" w:cs="Times New Roman"/>
          <w:color w:val="auto"/>
          <w:szCs w:val="32"/>
        </w:rPr>
        <w:t>经导师或院系同意后，须</w:t>
      </w:r>
      <w:r>
        <w:rPr>
          <w:rFonts w:cs="Times New Roman"/>
          <w:color w:val="auto"/>
          <w:szCs w:val="32"/>
        </w:rPr>
        <w:t>填写导师或</w:t>
      </w:r>
      <w:r>
        <w:rPr>
          <w:rFonts w:hint="eastAsia" w:cs="Times New Roman"/>
          <w:color w:val="auto"/>
          <w:szCs w:val="32"/>
        </w:rPr>
        <w:t>院系</w:t>
      </w:r>
      <w:r>
        <w:rPr>
          <w:rFonts w:cs="Times New Roman"/>
          <w:color w:val="auto"/>
          <w:szCs w:val="32"/>
        </w:rPr>
        <w:t>配套经费号信息</w:t>
      </w:r>
      <w:r>
        <w:rPr>
          <w:rFonts w:hint="eastAsia" w:cs="Times New Roman"/>
          <w:color w:val="auto"/>
          <w:szCs w:val="32"/>
        </w:rPr>
        <w:t>，</w:t>
      </w:r>
      <w:r>
        <w:rPr>
          <w:rFonts w:cs="Times New Roman"/>
          <w:color w:val="auto"/>
          <w:szCs w:val="32"/>
        </w:rPr>
        <w:t>以便</w:t>
      </w:r>
      <w:r>
        <w:rPr>
          <w:rFonts w:hint="eastAsia" w:cs="Times New Roman"/>
          <w:color w:val="auto"/>
          <w:szCs w:val="32"/>
        </w:rPr>
        <w:t>实际支出</w:t>
      </w:r>
      <w:r>
        <w:rPr>
          <w:rFonts w:cs="Times New Roman"/>
          <w:color w:val="auto"/>
          <w:szCs w:val="32"/>
        </w:rPr>
        <w:t>超</w:t>
      </w:r>
      <w:r>
        <w:rPr>
          <w:rFonts w:hint="eastAsia" w:cs="Times New Roman"/>
          <w:color w:val="auto"/>
          <w:szCs w:val="32"/>
        </w:rPr>
        <w:t>出学校</w:t>
      </w:r>
      <w:r>
        <w:rPr>
          <w:rFonts w:cs="Times New Roman"/>
          <w:color w:val="auto"/>
          <w:szCs w:val="32"/>
        </w:rPr>
        <w:t>资助额</w:t>
      </w:r>
      <w:r>
        <w:rPr>
          <w:rFonts w:hint="eastAsia" w:cs="Times New Roman"/>
          <w:color w:val="auto"/>
          <w:szCs w:val="32"/>
        </w:rPr>
        <w:t>度</w:t>
      </w:r>
      <w:r>
        <w:rPr>
          <w:rFonts w:cs="Times New Roman"/>
          <w:color w:val="auto"/>
          <w:szCs w:val="32"/>
        </w:rPr>
        <w:t>时</w:t>
      </w:r>
      <w:r>
        <w:rPr>
          <w:rFonts w:hint="eastAsia" w:cs="Times New Roman"/>
          <w:color w:val="auto"/>
          <w:szCs w:val="32"/>
        </w:rPr>
        <w:t>，由导师经费或学院经费予以支持。</w:t>
      </w:r>
    </w:p>
    <w:p w14:paraId="53C102FD">
      <w:pPr>
        <w:spacing w:line="540" w:lineRule="exact"/>
        <w:ind w:firstLine="624"/>
        <w:jc w:val="both"/>
        <w:rPr>
          <w:rFonts w:cs="Times New Roman"/>
          <w:color w:val="auto"/>
          <w:szCs w:val="32"/>
        </w:rPr>
      </w:pPr>
      <w:r>
        <w:rPr>
          <w:rFonts w:hint="eastAsia" w:cs="Times New Roman"/>
          <w:color w:val="auto"/>
          <w:szCs w:val="32"/>
        </w:rPr>
        <w:t>4</w:t>
      </w:r>
      <w:r>
        <w:rPr>
          <w:rFonts w:cs="Times New Roman"/>
          <w:color w:val="auto"/>
          <w:szCs w:val="32"/>
        </w:rPr>
        <w:t xml:space="preserve">. </w:t>
      </w:r>
      <w:r>
        <w:rPr>
          <w:rFonts w:hint="default" w:ascii="Times New Roman" w:hAnsi="Times New Roman" w:cs="Times New Roman"/>
          <w:color w:val="auto"/>
          <w:szCs w:val="32"/>
        </w:rPr>
        <w:t>“</w:t>
      </w:r>
      <w:r>
        <w:rPr>
          <w:rFonts w:hint="default" w:ascii="Times New Roman" w:hAnsi="Times New Roman" w:eastAsia="仿宋_GB2312" w:cs="Times New Roman"/>
          <w:color w:val="auto"/>
          <w:szCs w:val="32"/>
        </w:rPr>
        <w:t>研究生国际学术交流项目（****培养单位名称）”属于学校重点建设项目，</w:t>
      </w:r>
      <w:r>
        <w:rPr>
          <w:rFonts w:cs="Times New Roman"/>
          <w:color w:val="auto"/>
          <w:szCs w:val="32"/>
        </w:rPr>
        <w:t>研究生院将</w:t>
      </w:r>
      <w:r>
        <w:rPr>
          <w:rFonts w:hint="default" w:ascii="Times New Roman" w:hAnsi="Times New Roman" w:eastAsia="仿宋_GB2312" w:cs="Times New Roman"/>
          <w:color w:val="auto"/>
          <w:szCs w:val="32"/>
        </w:rPr>
        <w:t>根据学校预算管理和财务管理相关规定</w:t>
      </w:r>
      <w:r>
        <w:rPr>
          <w:rFonts w:cs="Times New Roman"/>
          <w:color w:val="auto"/>
          <w:szCs w:val="32"/>
        </w:rPr>
        <w:t>加强对该专项经费使用进度的监管，定期检查经费使用情况，对于执行不到位的培养</w:t>
      </w:r>
      <w:r>
        <w:rPr>
          <w:rFonts w:hint="eastAsia" w:cs="Times New Roman"/>
          <w:color w:val="auto"/>
          <w:szCs w:val="32"/>
        </w:rPr>
        <w:t>单位</w:t>
      </w:r>
      <w:r>
        <w:rPr>
          <w:rFonts w:cs="Times New Roman"/>
          <w:color w:val="auto"/>
          <w:szCs w:val="32"/>
        </w:rPr>
        <w:t>将及时予以</w:t>
      </w:r>
      <w:r>
        <w:rPr>
          <w:rFonts w:hint="eastAsia" w:cs="Times New Roman"/>
          <w:color w:val="auto"/>
          <w:szCs w:val="32"/>
        </w:rPr>
        <w:t>提醒和</w:t>
      </w:r>
      <w:r>
        <w:rPr>
          <w:rFonts w:cs="Times New Roman"/>
          <w:color w:val="auto"/>
          <w:szCs w:val="32"/>
        </w:rPr>
        <w:t>督促，对于确实无法执行完毕的经费及时收回、调整。</w:t>
      </w:r>
      <w:r>
        <w:rPr>
          <w:rFonts w:hint="eastAsia" w:cs="Times New Roman"/>
          <w:color w:val="auto"/>
          <w:szCs w:val="32"/>
        </w:rPr>
        <w:t>请各培养单位对于本单位使用研究生参加国际学术会议资助专项计划经费情况及时进行汇总，填写附件</w:t>
      </w:r>
      <w:r>
        <w:rPr>
          <w:rFonts w:cs="Times New Roman"/>
          <w:color w:val="auto"/>
          <w:szCs w:val="32"/>
        </w:rPr>
        <w:t>4</w:t>
      </w:r>
      <w:r>
        <w:rPr>
          <w:rFonts w:hint="eastAsia" w:cs="Times New Roman"/>
          <w:color w:val="auto"/>
          <w:szCs w:val="32"/>
        </w:rPr>
        <w:t>汇总表，研究生院将于6月底和1</w:t>
      </w:r>
      <w:r>
        <w:rPr>
          <w:rFonts w:cs="Times New Roman"/>
          <w:color w:val="auto"/>
          <w:szCs w:val="32"/>
        </w:rPr>
        <w:t>1</w:t>
      </w:r>
      <w:r>
        <w:rPr>
          <w:rFonts w:hint="eastAsia" w:cs="Times New Roman"/>
          <w:color w:val="auto"/>
          <w:szCs w:val="32"/>
        </w:rPr>
        <w:t>月底另行通知提交该汇总表。</w:t>
      </w:r>
    </w:p>
    <w:p w14:paraId="2E9C8026">
      <w:pPr>
        <w:spacing w:line="540" w:lineRule="exact"/>
        <w:jc w:val="both"/>
        <w:rPr>
          <w:rFonts w:cs="Times New Roman"/>
          <w:color w:val="auto"/>
        </w:rPr>
      </w:pPr>
    </w:p>
    <w:p w14:paraId="44ECFC49">
      <w:pPr>
        <w:spacing w:line="540" w:lineRule="exact"/>
        <w:ind w:left="1872" w:leftChars="200" w:hanging="1248" w:hangingChars="400"/>
        <w:jc w:val="both"/>
        <w:rPr>
          <w:rFonts w:cs="Times New Roman"/>
          <w:color w:val="auto"/>
        </w:rPr>
      </w:pPr>
      <w:r>
        <w:rPr>
          <w:rFonts w:cs="Times New Roman"/>
          <w:color w:val="auto"/>
        </w:rPr>
        <w:t xml:space="preserve">附件：1. </w:t>
      </w:r>
      <w:r>
        <w:rPr>
          <w:rFonts w:hint="eastAsia" w:cs="Times New Roman"/>
          <w:color w:val="auto"/>
        </w:rPr>
        <w:t>2025年研究生国际学术交流项目经费拨款清单</w:t>
      </w:r>
    </w:p>
    <w:p w14:paraId="52974520">
      <w:pPr>
        <w:numPr>
          <w:ilvl w:val="0"/>
          <w:numId w:val="2"/>
        </w:numPr>
        <w:spacing w:line="540" w:lineRule="exact"/>
        <w:ind w:left="1872" w:leftChars="500" w:hanging="312" w:hangingChars="100"/>
        <w:jc w:val="both"/>
        <w:rPr>
          <w:rFonts w:cs="Times New Roman"/>
          <w:bCs/>
          <w:color w:val="auto"/>
        </w:rPr>
      </w:pPr>
      <w:r>
        <w:rPr>
          <w:rFonts w:cs="Times New Roman"/>
          <w:color w:val="auto"/>
        </w:rPr>
        <w:t>中山大学研究生参加国际学术会议资助项目</w:t>
      </w:r>
      <w:r>
        <w:rPr>
          <w:rFonts w:hint="eastAsia" w:cs="Times New Roman"/>
          <w:color w:val="auto"/>
        </w:rPr>
        <w:t>申请材料模板</w:t>
      </w:r>
    </w:p>
    <w:p w14:paraId="1043B6D8">
      <w:pPr>
        <w:numPr>
          <w:ilvl w:val="0"/>
          <w:numId w:val="2"/>
        </w:numPr>
        <w:spacing w:line="540" w:lineRule="exact"/>
        <w:ind w:left="1872" w:leftChars="500" w:hanging="312" w:hangingChars="100"/>
        <w:jc w:val="both"/>
        <w:rPr>
          <w:rFonts w:cs="Times New Roman"/>
          <w:bCs/>
          <w:color w:val="auto"/>
        </w:rPr>
      </w:pPr>
      <w:r>
        <w:rPr>
          <w:rFonts w:hint="eastAsia"/>
          <w:bCs/>
          <w:color w:val="auto"/>
          <w:kern w:val="0"/>
          <w:szCs w:val="32"/>
        </w:rPr>
        <w:t>中山大学研究生参加国际学术会议经费资助申请和结项表</w:t>
      </w:r>
    </w:p>
    <w:p w14:paraId="10CA2442">
      <w:pPr>
        <w:spacing w:line="540" w:lineRule="exact"/>
        <w:ind w:left="1872" w:leftChars="500" w:hanging="312" w:hangingChars="100"/>
        <w:jc w:val="both"/>
        <w:rPr>
          <w:rFonts w:cs="Times New Roman"/>
          <w:color w:val="auto"/>
        </w:rPr>
      </w:pPr>
      <w:r>
        <w:rPr>
          <w:rFonts w:cs="Times New Roman"/>
          <w:color w:val="auto"/>
        </w:rPr>
        <w:t xml:space="preserve">4. </w:t>
      </w:r>
      <w:r>
        <w:rPr>
          <w:rFonts w:hint="eastAsia" w:cs="Times New Roman"/>
          <w:bCs/>
          <w:color w:val="auto"/>
        </w:rPr>
        <w:t>2025年研究生参加国际学术会议资助情况汇总表</w:t>
      </w:r>
    </w:p>
    <w:p w14:paraId="35DDBCC3">
      <w:pPr>
        <w:spacing w:line="540" w:lineRule="exact"/>
        <w:ind w:left="1872" w:leftChars="500" w:hanging="312" w:hangingChars="100"/>
        <w:jc w:val="both"/>
        <w:rPr>
          <w:rFonts w:cs="Times New Roman"/>
          <w:color w:val="auto"/>
        </w:rPr>
      </w:pPr>
      <w:r>
        <w:rPr>
          <w:rFonts w:cs="Times New Roman"/>
          <w:color w:val="auto"/>
        </w:rPr>
        <w:t>5. 中山大学研究生因公出国（境）管理办法</w:t>
      </w:r>
    </w:p>
    <w:p w14:paraId="169F54F1">
      <w:pPr>
        <w:spacing w:line="540" w:lineRule="exact"/>
        <w:rPr>
          <w:rFonts w:cs="Times New Roman"/>
          <w:color w:val="auto"/>
        </w:rPr>
      </w:pPr>
    </w:p>
    <w:p w14:paraId="798A5BB1">
      <w:pPr>
        <w:spacing w:line="540" w:lineRule="exact"/>
        <w:rPr>
          <w:rFonts w:cs="Times New Roman"/>
          <w:color w:val="auto"/>
        </w:rPr>
      </w:pPr>
      <w:r>
        <w:rPr>
          <w:rFonts w:cs="Times New Roman"/>
          <w:color w:val="auto"/>
        </w:rPr>
        <w:t xml:space="preserve"> </w:t>
      </w:r>
    </w:p>
    <w:p w14:paraId="4BEC93B4">
      <w:pPr>
        <w:spacing w:line="540" w:lineRule="exact"/>
        <w:rPr>
          <w:rFonts w:cs="Times New Roman"/>
          <w:color w:val="auto"/>
        </w:rPr>
      </w:pPr>
    </w:p>
    <w:p w14:paraId="4DEB4AB7">
      <w:pPr>
        <w:spacing w:line="540" w:lineRule="exact"/>
        <w:ind w:right="1216" w:rightChars="390"/>
        <w:rPr>
          <w:rFonts w:cs="Times New Roman"/>
          <w:color w:val="auto"/>
        </w:rPr>
      </w:pPr>
      <w:r>
        <w:rPr>
          <w:rFonts w:cs="Times New Roman"/>
          <w:color w:val="auto"/>
        </w:rPr>
        <w:t xml:space="preserve">                                中山大学研究生院</w:t>
      </w:r>
    </w:p>
    <w:p w14:paraId="569E1EA7">
      <w:pPr>
        <w:spacing w:line="540" w:lineRule="exact"/>
        <w:ind w:right="1216" w:rightChars="390"/>
        <w:jc w:val="right"/>
        <w:rPr>
          <w:rFonts w:cs="Times New Roman"/>
          <w:color w:val="auto"/>
        </w:rPr>
      </w:pPr>
      <w:r>
        <w:rPr>
          <w:rFonts w:cs="Times New Roman"/>
          <w:color w:val="auto"/>
        </w:rPr>
        <w:t>2025年</w:t>
      </w:r>
      <w:r>
        <w:rPr>
          <w:rFonts w:hint="eastAsia" w:cs="Times New Roman"/>
          <w:color w:val="auto"/>
          <w:lang w:val="en-US" w:eastAsia="zh-CN"/>
        </w:rPr>
        <w:t>2</w:t>
      </w:r>
      <w:r>
        <w:rPr>
          <w:rFonts w:cs="Times New Roman"/>
          <w:color w:val="auto"/>
        </w:rPr>
        <w:t>月</w:t>
      </w:r>
      <w:r>
        <w:rPr>
          <w:rFonts w:hint="eastAsia" w:cs="Times New Roman"/>
          <w:color w:val="auto"/>
          <w:lang w:val="en-US" w:eastAsia="zh-CN"/>
        </w:rPr>
        <w:t>10</w:t>
      </w:r>
      <w:r>
        <w:rPr>
          <w:rFonts w:cs="Times New Roman"/>
          <w:color w:val="auto"/>
        </w:rPr>
        <w:t>日</w:t>
      </w:r>
    </w:p>
    <w:p w14:paraId="0B0AD426">
      <w:pPr>
        <w:spacing w:line="540" w:lineRule="exact"/>
        <w:ind w:firstLine="624" w:firstLineChars="200"/>
        <w:rPr>
          <w:rFonts w:cs="Times New Roman"/>
          <w:color w:val="auto"/>
        </w:rPr>
      </w:pPr>
      <w:r>
        <w:rPr>
          <w:rFonts w:cs="Times New Roman"/>
          <w:color w:val="auto"/>
        </w:rPr>
        <w:t>（联系人：</w:t>
      </w:r>
      <w:r>
        <w:rPr>
          <w:rFonts w:hint="eastAsia" w:cs="Times New Roman"/>
          <w:color w:val="auto"/>
        </w:rPr>
        <w:t>李莉</w:t>
      </w:r>
      <w:r>
        <w:rPr>
          <w:rFonts w:cs="Times New Roman"/>
          <w:color w:val="auto"/>
        </w:rPr>
        <w:t>，电话：020-84113007，电子邮箱：yygjjl@mail.sysu.edu.cn）</w:t>
      </w:r>
    </w:p>
    <w:p w14:paraId="3979635D">
      <w:pPr>
        <w:spacing w:line="540" w:lineRule="exact"/>
        <w:rPr>
          <w:rFonts w:cs="Times New Roman"/>
          <w:color w:val="auto"/>
        </w:rPr>
      </w:pPr>
    </w:p>
    <w:p w14:paraId="00E5AB0D">
      <w:pPr>
        <w:spacing w:line="540" w:lineRule="exact"/>
        <w:rPr>
          <w:rFonts w:cs="Times New Roman"/>
          <w:color w:val="auto"/>
        </w:rPr>
      </w:pPr>
    </w:p>
    <w:p w14:paraId="05DFB10C">
      <w:pPr>
        <w:spacing w:line="540" w:lineRule="exact"/>
        <w:rPr>
          <w:rFonts w:cs="Times New Roman"/>
          <w:color w:val="auto"/>
        </w:rPr>
      </w:pPr>
    </w:p>
    <w:p w14:paraId="7197C9FC">
      <w:pPr>
        <w:spacing w:line="540" w:lineRule="exact"/>
        <w:rPr>
          <w:rFonts w:cs="Times New Roman"/>
          <w:color w:val="auto"/>
        </w:rPr>
      </w:pPr>
    </w:p>
    <w:p w14:paraId="672CCFD3">
      <w:pPr>
        <w:spacing w:line="540" w:lineRule="exact"/>
        <w:rPr>
          <w:rFonts w:cs="Times New Roman"/>
          <w:color w:val="auto"/>
        </w:rPr>
      </w:pPr>
    </w:p>
    <w:p w14:paraId="3D2DB53C">
      <w:pPr>
        <w:spacing w:line="540" w:lineRule="exact"/>
        <w:rPr>
          <w:rFonts w:cs="Times New Roman"/>
          <w:color w:val="auto"/>
        </w:rPr>
      </w:pPr>
    </w:p>
    <w:p w14:paraId="1D8E81A3">
      <w:pPr>
        <w:spacing w:line="540" w:lineRule="exact"/>
        <w:rPr>
          <w:rFonts w:cs="Times New Roman"/>
          <w:color w:val="auto"/>
        </w:rPr>
      </w:pPr>
    </w:p>
    <w:p w14:paraId="7F0FFE96">
      <w:pPr>
        <w:spacing w:line="540" w:lineRule="exact"/>
        <w:rPr>
          <w:rFonts w:cs="Times New Roman"/>
          <w:color w:val="auto"/>
        </w:rPr>
      </w:pPr>
    </w:p>
    <w:p w14:paraId="23A6BF6C">
      <w:pPr>
        <w:spacing w:line="540" w:lineRule="exact"/>
        <w:rPr>
          <w:rFonts w:cs="Times New Roman"/>
          <w:color w:val="auto"/>
        </w:rPr>
      </w:pPr>
    </w:p>
    <w:p w14:paraId="4F0A60AF">
      <w:pPr>
        <w:spacing w:line="540" w:lineRule="exact"/>
        <w:rPr>
          <w:rFonts w:cs="Times New Roman"/>
          <w:color w:val="auto"/>
        </w:rPr>
      </w:pPr>
    </w:p>
    <w:p w14:paraId="5C2BFA3B">
      <w:pPr>
        <w:spacing w:line="540" w:lineRule="exact"/>
        <w:rPr>
          <w:rFonts w:cs="Times New Roman"/>
          <w:color w:val="auto"/>
        </w:rPr>
      </w:pPr>
    </w:p>
    <w:p w14:paraId="1E2B8F6A">
      <w:pPr>
        <w:spacing w:line="540" w:lineRule="exact"/>
        <w:rPr>
          <w:rFonts w:cs="Times New Roman"/>
          <w:color w:val="auto"/>
        </w:rPr>
      </w:pPr>
    </w:p>
    <w:p w14:paraId="08299128">
      <w:pPr>
        <w:spacing w:line="540" w:lineRule="exact"/>
        <w:rPr>
          <w:rFonts w:cs="Times New Roman"/>
          <w:color w:val="auto"/>
        </w:rPr>
      </w:pPr>
    </w:p>
    <w:p w14:paraId="1C8C2A74">
      <w:pPr>
        <w:spacing w:line="540" w:lineRule="exact"/>
        <w:rPr>
          <w:rFonts w:cs="Times New Roman"/>
          <w:color w:val="auto"/>
        </w:rPr>
      </w:pPr>
    </w:p>
    <w:p w14:paraId="48455405">
      <w:pPr>
        <w:spacing w:line="540" w:lineRule="exact"/>
        <w:rPr>
          <w:rFonts w:cs="Times New Roman"/>
          <w:color w:val="auto"/>
        </w:rPr>
      </w:pPr>
    </w:p>
    <w:p w14:paraId="26B52048">
      <w:pPr>
        <w:spacing w:line="540" w:lineRule="exact"/>
        <w:rPr>
          <w:rFonts w:cs="Times New Roman"/>
          <w:color w:val="auto"/>
        </w:rPr>
      </w:pPr>
    </w:p>
    <w:p w14:paraId="0DA4232E">
      <w:pPr>
        <w:pBdr>
          <w:top w:val="single" w:color="auto" w:sz="8" w:space="1"/>
          <w:bottom w:val="single" w:color="auto" w:sz="8" w:space="1"/>
          <w:between w:val="single" w:color="auto" w:sz="6" w:space="1"/>
        </w:pBdr>
        <w:spacing w:line="540" w:lineRule="exact"/>
        <w:ind w:left="815" w:hanging="816" w:hangingChars="300"/>
        <w:rPr>
          <w:rFonts w:cs="Times New Roman"/>
          <w:color w:val="auto"/>
          <w:sz w:val="18"/>
          <w:szCs w:val="18"/>
        </w:rPr>
      </w:pPr>
      <w:r>
        <w:rPr>
          <w:rFonts w:cs="Times New Roman"/>
          <w:color w:val="auto"/>
          <w:sz w:val="28"/>
          <w:szCs w:val="28"/>
        </w:rPr>
        <w:t xml:space="preserve">  发：各研究生培养单位。</w:t>
      </w:r>
    </w:p>
    <w:p w14:paraId="6CE657F3">
      <w:pPr>
        <w:pBdr>
          <w:top w:val="single" w:color="auto" w:sz="8" w:space="1"/>
          <w:bottom w:val="single" w:color="auto" w:sz="8" w:space="1"/>
          <w:between w:val="single" w:color="auto" w:sz="6" w:space="1"/>
        </w:pBdr>
        <w:spacing w:line="540" w:lineRule="exact"/>
        <w:ind w:firstLine="272" w:firstLineChars="100"/>
        <w:rPr>
          <w:rFonts w:eastAsia="黑体" w:cs="Times New Roman"/>
          <w:color w:val="auto"/>
          <w:sz w:val="28"/>
          <w:szCs w:val="28"/>
        </w:rPr>
      </w:pPr>
      <w:r>
        <w:rPr>
          <w:rFonts w:cs="Times New Roman"/>
          <w:color w:val="auto"/>
          <w:sz w:val="28"/>
          <w:szCs w:val="28"/>
        </w:rPr>
        <w:t>中山大学研究生院       主动公开          2025年</w:t>
      </w:r>
      <w:r>
        <w:rPr>
          <w:rFonts w:hint="eastAsia" w:cs="Times New Roman"/>
          <w:color w:val="auto"/>
          <w:sz w:val="28"/>
          <w:szCs w:val="28"/>
          <w:lang w:val="en-US" w:eastAsia="zh-CN"/>
        </w:rPr>
        <w:t>2</w:t>
      </w:r>
      <w:r>
        <w:rPr>
          <w:rFonts w:cs="Times New Roman"/>
          <w:color w:val="auto"/>
          <w:sz w:val="28"/>
          <w:szCs w:val="28"/>
        </w:rPr>
        <w:t>月</w:t>
      </w:r>
      <w:r>
        <w:rPr>
          <w:rFonts w:hint="eastAsia" w:cs="Times New Roman"/>
          <w:color w:val="auto"/>
          <w:sz w:val="28"/>
          <w:szCs w:val="28"/>
          <w:lang w:val="en-US" w:eastAsia="zh-CN"/>
        </w:rPr>
        <w:t>10</w:t>
      </w:r>
      <w:r>
        <w:rPr>
          <w:rFonts w:cs="Times New Roman"/>
          <w:color w:val="auto"/>
          <w:sz w:val="28"/>
          <w:szCs w:val="28"/>
        </w:rPr>
        <w:t>日印发</w:t>
      </w:r>
    </w:p>
    <w:sectPr>
      <w:footerReference r:id="rId5" w:type="default"/>
      <w:footerReference r:id="rId6" w:type="even"/>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DCE7C59-72A2-400E-816C-73CE1D0A3DCD}"/>
  </w:font>
  <w:font w:name="Arial">
    <w:panose1 w:val="020B0604020202020204"/>
    <w:charset w:val="01"/>
    <w:family w:val="swiss"/>
    <w:pitch w:val="default"/>
    <w:sig w:usb0="E0002EFF" w:usb1="C000785B" w:usb2="00000009" w:usb3="00000000" w:csb0="400001FF" w:csb1="FFFF0000"/>
    <w:embedRegular r:id="rId2" w:fontKey="{EC8FBC54-2FFE-40C7-AF21-E107EA79F9CF}"/>
  </w:font>
  <w:font w:name="黑体">
    <w:panose1 w:val="02010609060101010101"/>
    <w:charset w:val="86"/>
    <w:family w:val="auto"/>
    <w:pitch w:val="default"/>
    <w:sig w:usb0="800002BF" w:usb1="38CF7CFA" w:usb2="00000016" w:usb3="00000000" w:csb0="00040001" w:csb1="00000000"/>
    <w:embedRegular r:id="rId3" w:fontKey="{811FDA33-BA92-4FF5-A133-32C8D5879A0A}"/>
  </w:font>
  <w:font w:name="Courier New">
    <w:panose1 w:val="02070309020205020404"/>
    <w:charset w:val="01"/>
    <w:family w:val="modern"/>
    <w:pitch w:val="default"/>
    <w:sig w:usb0="E0002EFF" w:usb1="C0007843" w:usb2="00000009" w:usb3="00000000" w:csb0="400001FF" w:csb1="FFFF0000"/>
    <w:embedRegular r:id="rId4" w:fontKey="{48EC8AE3-B033-4414-A25C-CAF6CD3D3268}"/>
  </w:font>
  <w:font w:name="Symbol">
    <w:panose1 w:val="05050102010706020507"/>
    <w:charset w:val="02"/>
    <w:family w:val="roman"/>
    <w:pitch w:val="default"/>
    <w:sig w:usb0="00000000" w:usb1="00000000" w:usb2="00000000" w:usb3="00000000" w:csb0="80000000" w:csb1="00000000"/>
    <w:embedRegular r:id="rId5" w:fontKey="{FF9B261A-652A-4AFA-BF45-B1F13BBC0DC8}"/>
  </w:font>
  <w:font w:name="Calibri">
    <w:panose1 w:val="020F0502020204030204"/>
    <w:charset w:val="00"/>
    <w:family w:val="swiss"/>
    <w:pitch w:val="default"/>
    <w:sig w:usb0="E4002EFF" w:usb1="C000247B" w:usb2="00000009" w:usb3="00000000" w:csb0="200001FF" w:csb1="00000000"/>
    <w:embedRegular r:id="rId6" w:fontKey="{11697572-9049-4902-962C-46B450782BD3}"/>
  </w:font>
  <w:font w:name="仿宋_GB2312">
    <w:panose1 w:val="02010609030101010101"/>
    <w:charset w:val="86"/>
    <w:family w:val="modern"/>
    <w:pitch w:val="default"/>
    <w:sig w:usb0="00000001" w:usb1="080E0000" w:usb2="00000000" w:usb3="00000000" w:csb0="00040000" w:csb1="00000000"/>
    <w:embedRegular r:id="rId7" w:fontKey="{E248544A-DAEA-4033-BA12-C89F4CFF3D71}"/>
  </w:font>
  <w:font w:name="方正小标宋简体">
    <w:panose1 w:val="03000509000000000000"/>
    <w:charset w:val="86"/>
    <w:family w:val="auto"/>
    <w:pitch w:val="default"/>
    <w:sig w:usb0="00000001" w:usb1="080E0000" w:usb2="00000000" w:usb3="00000000" w:csb0="00040000" w:csb1="00000000"/>
    <w:embedRegular r:id="rId8" w:fontKey="{07D46B41-D3A7-4769-88D5-58AB0099FE24}"/>
  </w:font>
  <w:font w:name="微软雅黑">
    <w:panose1 w:val="020B0503020204020204"/>
    <w:charset w:val="86"/>
    <w:family w:val="swiss"/>
    <w:pitch w:val="default"/>
    <w:sig w:usb0="80000287" w:usb1="2ACF3C50" w:usb2="00000016" w:usb3="00000000" w:csb0="0004001F" w:csb1="00000000"/>
  </w:font>
  <w:font w:name="___WRD_EMBED_SUB_44">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embedRegular r:id="rId9" w:fontKey="{853E6A84-F1D0-4297-BE71-8E916DF4EBCA}"/>
  </w:font>
  <w:font w:name="等线">
    <w:panose1 w:val="02010600030101010101"/>
    <w:charset w:val="86"/>
    <w:family w:val="auto"/>
    <w:pitch w:val="default"/>
    <w:sig w:usb0="A00002BF" w:usb1="38CF7CFA" w:usb2="00000016" w:usb3="00000000" w:csb0="0004000F" w:csb1="00000000"/>
    <w:embedRegular r:id="rId10" w:fontKey="{17DD5AE4-D4D2-47D8-8D8D-605F6B6E9733}"/>
  </w:font>
  <w:font w:name="Courier New">
    <w:panose1 w:val="02070309020205020404"/>
    <w:charset w:val="00"/>
    <w:family w:val="modern"/>
    <w:pitch w:val="default"/>
    <w:sig w:usb0="E0002EFF" w:usb1="C0007843" w:usb2="00000009" w:usb3="00000000" w:csb0="400001FF" w:csb1="FFFF0000"/>
    <w:embedRegular r:id="rId11" w:fontKey="{2E5626B7-CB7D-4D2E-A10A-CBB514D819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2060138"/>
    </w:sdtPr>
    <w:sdtEndPr>
      <w:rPr>
        <w:rFonts w:ascii="Times New Roman" w:hAnsi="Times New Roman" w:cs="Times New Roman"/>
        <w:sz w:val="28"/>
        <w:szCs w:val="28"/>
      </w:rPr>
    </w:sdtEndPr>
    <w:sdtContent>
      <w:p w14:paraId="63D04679">
        <w:pPr>
          <w:pStyle w:val="6"/>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r>
          <w:rPr>
            <w:rFonts w:hint="eastAsia" w:ascii="Times New Roman" w:hAnsi="Times New Roman"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5646346"/>
    </w:sdtPr>
    <w:sdtEndPr>
      <w:rPr>
        <w:rFonts w:ascii="Times New Roman" w:hAnsi="Times New Roman" w:cs="Times New Roman"/>
        <w:sz w:val="28"/>
        <w:szCs w:val="28"/>
      </w:rPr>
    </w:sdtEndPr>
    <w:sdtContent>
      <w:p w14:paraId="2000AE8B">
        <w:pPr>
          <w:pStyle w:val="6"/>
          <w:ind w:firstLine="270" w:firstLineChars="15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60823C"/>
    <w:multiLevelType w:val="singleLevel"/>
    <w:tmpl w:val="0760823C"/>
    <w:lvl w:ilvl="0" w:tentative="0">
      <w:start w:val="2"/>
      <w:numFmt w:val="decimal"/>
      <w:suff w:val="space"/>
      <w:lvlText w:val="%1."/>
      <w:lvlJc w:val="left"/>
    </w:lvl>
  </w:abstractNum>
  <w:abstractNum w:abstractNumId="1">
    <w:nsid w:val="28C85459"/>
    <w:multiLevelType w:val="singleLevel"/>
    <w:tmpl w:val="28C85459"/>
    <w:lvl w:ilvl="0" w:tentative="0">
      <w:start w:val="2"/>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trackRevisions w:val="1"/>
  <w:documentProtection w:enforcement="0"/>
  <w:defaultTabStop w:val="420"/>
  <w:evenAndOddHeaders w:val="1"/>
  <w:drawingGridHorizontalSpacing w:val="156"/>
  <w:drawingGridVerticalSpacing w:val="577"/>
  <w:displayHorizontalDrawingGridEvery w:val="0"/>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ZjMTE0ZDNhYzM1ZTU2ZmYyMGVjNWJiN2Y4OTEyMDUifQ=="/>
  </w:docVars>
  <w:rsids>
    <w:rsidRoot w:val="00A72919"/>
    <w:rsid w:val="0000324E"/>
    <w:rsid w:val="000220F8"/>
    <w:rsid w:val="000305E0"/>
    <w:rsid w:val="00030B15"/>
    <w:rsid w:val="0003402B"/>
    <w:rsid w:val="0003411D"/>
    <w:rsid w:val="00036F29"/>
    <w:rsid w:val="000475A4"/>
    <w:rsid w:val="00047AA4"/>
    <w:rsid w:val="00051163"/>
    <w:rsid w:val="00054022"/>
    <w:rsid w:val="0006408B"/>
    <w:rsid w:val="00065C60"/>
    <w:rsid w:val="00076184"/>
    <w:rsid w:val="000818D6"/>
    <w:rsid w:val="00086727"/>
    <w:rsid w:val="00087435"/>
    <w:rsid w:val="000927AB"/>
    <w:rsid w:val="00093EEE"/>
    <w:rsid w:val="000B3B03"/>
    <w:rsid w:val="000C4CA6"/>
    <w:rsid w:val="000D598D"/>
    <w:rsid w:val="000D6A64"/>
    <w:rsid w:val="000D6F40"/>
    <w:rsid w:val="000E3BC9"/>
    <w:rsid w:val="000F158F"/>
    <w:rsid w:val="001001BF"/>
    <w:rsid w:val="00101287"/>
    <w:rsid w:val="00103810"/>
    <w:rsid w:val="00107408"/>
    <w:rsid w:val="00107A5F"/>
    <w:rsid w:val="00111158"/>
    <w:rsid w:val="001113BC"/>
    <w:rsid w:val="00137BA5"/>
    <w:rsid w:val="001411CC"/>
    <w:rsid w:val="00151582"/>
    <w:rsid w:val="001526E5"/>
    <w:rsid w:val="00165658"/>
    <w:rsid w:val="00172237"/>
    <w:rsid w:val="00180691"/>
    <w:rsid w:val="00184D3C"/>
    <w:rsid w:val="00192A77"/>
    <w:rsid w:val="00194221"/>
    <w:rsid w:val="00197AF6"/>
    <w:rsid w:val="001A15AC"/>
    <w:rsid w:val="001A4D7B"/>
    <w:rsid w:val="001A7FF5"/>
    <w:rsid w:val="001B2074"/>
    <w:rsid w:val="001B5C08"/>
    <w:rsid w:val="001C1080"/>
    <w:rsid w:val="001C4193"/>
    <w:rsid w:val="001C4C39"/>
    <w:rsid w:val="001C6C10"/>
    <w:rsid w:val="001E1A2C"/>
    <w:rsid w:val="001E3302"/>
    <w:rsid w:val="001E7CB3"/>
    <w:rsid w:val="001F53AC"/>
    <w:rsid w:val="00213242"/>
    <w:rsid w:val="00213994"/>
    <w:rsid w:val="0021490B"/>
    <w:rsid w:val="00214A44"/>
    <w:rsid w:val="00216360"/>
    <w:rsid w:val="00220DD2"/>
    <w:rsid w:val="00221B66"/>
    <w:rsid w:val="0022683C"/>
    <w:rsid w:val="00242C96"/>
    <w:rsid w:val="00242E5D"/>
    <w:rsid w:val="00251D5E"/>
    <w:rsid w:val="0025295A"/>
    <w:rsid w:val="00255631"/>
    <w:rsid w:val="00262190"/>
    <w:rsid w:val="00262F8B"/>
    <w:rsid w:val="00265CBA"/>
    <w:rsid w:val="0026742C"/>
    <w:rsid w:val="00272E11"/>
    <w:rsid w:val="00277C56"/>
    <w:rsid w:val="00283A5F"/>
    <w:rsid w:val="002B54C7"/>
    <w:rsid w:val="002C00E4"/>
    <w:rsid w:val="002C1709"/>
    <w:rsid w:val="002D2105"/>
    <w:rsid w:val="002D2317"/>
    <w:rsid w:val="002E2A09"/>
    <w:rsid w:val="002F0783"/>
    <w:rsid w:val="002F19E2"/>
    <w:rsid w:val="002F1D63"/>
    <w:rsid w:val="002F579E"/>
    <w:rsid w:val="002F7957"/>
    <w:rsid w:val="0030202D"/>
    <w:rsid w:val="00310A7F"/>
    <w:rsid w:val="00330A72"/>
    <w:rsid w:val="00333002"/>
    <w:rsid w:val="003337DF"/>
    <w:rsid w:val="00340C9A"/>
    <w:rsid w:val="00346C6A"/>
    <w:rsid w:val="003539FC"/>
    <w:rsid w:val="0036017A"/>
    <w:rsid w:val="003635ED"/>
    <w:rsid w:val="00380FE4"/>
    <w:rsid w:val="003853BB"/>
    <w:rsid w:val="00387133"/>
    <w:rsid w:val="00387471"/>
    <w:rsid w:val="00393CBA"/>
    <w:rsid w:val="003A3701"/>
    <w:rsid w:val="003B74DA"/>
    <w:rsid w:val="003C4BE5"/>
    <w:rsid w:val="003C5723"/>
    <w:rsid w:val="003C75D5"/>
    <w:rsid w:val="003D2FE4"/>
    <w:rsid w:val="003D4369"/>
    <w:rsid w:val="003F0C16"/>
    <w:rsid w:val="003F40EC"/>
    <w:rsid w:val="003F65CD"/>
    <w:rsid w:val="003F77C3"/>
    <w:rsid w:val="00403BD4"/>
    <w:rsid w:val="00406824"/>
    <w:rsid w:val="0041613E"/>
    <w:rsid w:val="00422254"/>
    <w:rsid w:val="00426B77"/>
    <w:rsid w:val="00432F73"/>
    <w:rsid w:val="00434CB1"/>
    <w:rsid w:val="004364E3"/>
    <w:rsid w:val="00445496"/>
    <w:rsid w:val="004547EE"/>
    <w:rsid w:val="00455838"/>
    <w:rsid w:val="00465033"/>
    <w:rsid w:val="00465998"/>
    <w:rsid w:val="00466BE2"/>
    <w:rsid w:val="004674A9"/>
    <w:rsid w:val="00470269"/>
    <w:rsid w:val="00481793"/>
    <w:rsid w:val="00484FE5"/>
    <w:rsid w:val="004868A5"/>
    <w:rsid w:val="004A18C8"/>
    <w:rsid w:val="004A1CC2"/>
    <w:rsid w:val="004A6F83"/>
    <w:rsid w:val="004B4D0E"/>
    <w:rsid w:val="004C36E4"/>
    <w:rsid w:val="004C5FBC"/>
    <w:rsid w:val="004C7B4F"/>
    <w:rsid w:val="004D4B1D"/>
    <w:rsid w:val="00504DFC"/>
    <w:rsid w:val="005056B0"/>
    <w:rsid w:val="005138AD"/>
    <w:rsid w:val="00532754"/>
    <w:rsid w:val="00532A5F"/>
    <w:rsid w:val="00566598"/>
    <w:rsid w:val="00567985"/>
    <w:rsid w:val="00576C9F"/>
    <w:rsid w:val="0058444C"/>
    <w:rsid w:val="0058599E"/>
    <w:rsid w:val="0059451E"/>
    <w:rsid w:val="005A02CB"/>
    <w:rsid w:val="005A440E"/>
    <w:rsid w:val="005A52A4"/>
    <w:rsid w:val="005B4A6B"/>
    <w:rsid w:val="005B7646"/>
    <w:rsid w:val="005D690B"/>
    <w:rsid w:val="005E0898"/>
    <w:rsid w:val="005E2604"/>
    <w:rsid w:val="005F2D67"/>
    <w:rsid w:val="005F6DB7"/>
    <w:rsid w:val="005F79FC"/>
    <w:rsid w:val="006221C7"/>
    <w:rsid w:val="006335C7"/>
    <w:rsid w:val="00633F67"/>
    <w:rsid w:val="006471D9"/>
    <w:rsid w:val="00650085"/>
    <w:rsid w:val="00655876"/>
    <w:rsid w:val="00661207"/>
    <w:rsid w:val="00661AAF"/>
    <w:rsid w:val="00664F5F"/>
    <w:rsid w:val="00680E17"/>
    <w:rsid w:val="00693F58"/>
    <w:rsid w:val="006947C8"/>
    <w:rsid w:val="006A177A"/>
    <w:rsid w:val="006A6676"/>
    <w:rsid w:val="006A6D1C"/>
    <w:rsid w:val="006B3B86"/>
    <w:rsid w:val="006D1058"/>
    <w:rsid w:val="006D15E6"/>
    <w:rsid w:val="006E196B"/>
    <w:rsid w:val="006E2232"/>
    <w:rsid w:val="006E2841"/>
    <w:rsid w:val="006E43A2"/>
    <w:rsid w:val="006E4D30"/>
    <w:rsid w:val="006E6886"/>
    <w:rsid w:val="006F200C"/>
    <w:rsid w:val="006F6E31"/>
    <w:rsid w:val="007017E2"/>
    <w:rsid w:val="00703874"/>
    <w:rsid w:val="00710F09"/>
    <w:rsid w:val="00713FA5"/>
    <w:rsid w:val="007229BE"/>
    <w:rsid w:val="00732915"/>
    <w:rsid w:val="00745D45"/>
    <w:rsid w:val="007479BF"/>
    <w:rsid w:val="00753411"/>
    <w:rsid w:val="00767A79"/>
    <w:rsid w:val="00767BBA"/>
    <w:rsid w:val="00770961"/>
    <w:rsid w:val="007A2492"/>
    <w:rsid w:val="007B0CAC"/>
    <w:rsid w:val="007C31B7"/>
    <w:rsid w:val="007D2BC8"/>
    <w:rsid w:val="007D332A"/>
    <w:rsid w:val="007D770F"/>
    <w:rsid w:val="007E0AC3"/>
    <w:rsid w:val="007E1A41"/>
    <w:rsid w:val="007F023E"/>
    <w:rsid w:val="007F1A60"/>
    <w:rsid w:val="00801053"/>
    <w:rsid w:val="00804651"/>
    <w:rsid w:val="00812A08"/>
    <w:rsid w:val="00821036"/>
    <w:rsid w:val="008251EE"/>
    <w:rsid w:val="008302EB"/>
    <w:rsid w:val="00831F11"/>
    <w:rsid w:val="00834145"/>
    <w:rsid w:val="0084341B"/>
    <w:rsid w:val="0085406F"/>
    <w:rsid w:val="00855E17"/>
    <w:rsid w:val="00856E69"/>
    <w:rsid w:val="0086617B"/>
    <w:rsid w:val="0086691F"/>
    <w:rsid w:val="00873842"/>
    <w:rsid w:val="00880935"/>
    <w:rsid w:val="00885C5E"/>
    <w:rsid w:val="00886BF3"/>
    <w:rsid w:val="008A1A56"/>
    <w:rsid w:val="008A57A9"/>
    <w:rsid w:val="008A7B50"/>
    <w:rsid w:val="008B7969"/>
    <w:rsid w:val="008C4F65"/>
    <w:rsid w:val="008C5386"/>
    <w:rsid w:val="008C54E1"/>
    <w:rsid w:val="008C5889"/>
    <w:rsid w:val="008E1280"/>
    <w:rsid w:val="008E180F"/>
    <w:rsid w:val="008F44B5"/>
    <w:rsid w:val="008F57F8"/>
    <w:rsid w:val="00900508"/>
    <w:rsid w:val="009007FF"/>
    <w:rsid w:val="0090300C"/>
    <w:rsid w:val="009106E6"/>
    <w:rsid w:val="00940242"/>
    <w:rsid w:val="009461A7"/>
    <w:rsid w:val="009509C9"/>
    <w:rsid w:val="00951F58"/>
    <w:rsid w:val="00954E22"/>
    <w:rsid w:val="0095554B"/>
    <w:rsid w:val="00960BCA"/>
    <w:rsid w:val="009653B1"/>
    <w:rsid w:val="00975FF8"/>
    <w:rsid w:val="00977B4F"/>
    <w:rsid w:val="00987A35"/>
    <w:rsid w:val="00994836"/>
    <w:rsid w:val="0099496C"/>
    <w:rsid w:val="009A0BBE"/>
    <w:rsid w:val="009B7D7A"/>
    <w:rsid w:val="009C5798"/>
    <w:rsid w:val="009C5F8F"/>
    <w:rsid w:val="009D19A0"/>
    <w:rsid w:val="009E1217"/>
    <w:rsid w:val="009E12E2"/>
    <w:rsid w:val="009F249C"/>
    <w:rsid w:val="009F3351"/>
    <w:rsid w:val="009F5849"/>
    <w:rsid w:val="00A00295"/>
    <w:rsid w:val="00A07317"/>
    <w:rsid w:val="00A14F7B"/>
    <w:rsid w:val="00A16563"/>
    <w:rsid w:val="00A25DC7"/>
    <w:rsid w:val="00A37C54"/>
    <w:rsid w:val="00A5501A"/>
    <w:rsid w:val="00A64785"/>
    <w:rsid w:val="00A65587"/>
    <w:rsid w:val="00A72919"/>
    <w:rsid w:val="00A802C0"/>
    <w:rsid w:val="00A846D6"/>
    <w:rsid w:val="00A915EA"/>
    <w:rsid w:val="00AB7102"/>
    <w:rsid w:val="00AC78A7"/>
    <w:rsid w:val="00AC7D50"/>
    <w:rsid w:val="00AE5A20"/>
    <w:rsid w:val="00AF2D96"/>
    <w:rsid w:val="00AF4721"/>
    <w:rsid w:val="00B012F1"/>
    <w:rsid w:val="00B14966"/>
    <w:rsid w:val="00B149BE"/>
    <w:rsid w:val="00B1657A"/>
    <w:rsid w:val="00B22559"/>
    <w:rsid w:val="00B26E98"/>
    <w:rsid w:val="00B3234B"/>
    <w:rsid w:val="00B35EE0"/>
    <w:rsid w:val="00B413C4"/>
    <w:rsid w:val="00B450EC"/>
    <w:rsid w:val="00B647F4"/>
    <w:rsid w:val="00B65AE4"/>
    <w:rsid w:val="00B70730"/>
    <w:rsid w:val="00B76974"/>
    <w:rsid w:val="00B801A8"/>
    <w:rsid w:val="00B9730B"/>
    <w:rsid w:val="00BA17E4"/>
    <w:rsid w:val="00BA643F"/>
    <w:rsid w:val="00BA6993"/>
    <w:rsid w:val="00BD0D4A"/>
    <w:rsid w:val="00BD384D"/>
    <w:rsid w:val="00BD61A4"/>
    <w:rsid w:val="00BD7457"/>
    <w:rsid w:val="00BF5CBD"/>
    <w:rsid w:val="00BF62F5"/>
    <w:rsid w:val="00BF7B90"/>
    <w:rsid w:val="00C066F0"/>
    <w:rsid w:val="00C10E8D"/>
    <w:rsid w:val="00C143EB"/>
    <w:rsid w:val="00C15368"/>
    <w:rsid w:val="00C17A79"/>
    <w:rsid w:val="00C26536"/>
    <w:rsid w:val="00C30E21"/>
    <w:rsid w:val="00C31D0D"/>
    <w:rsid w:val="00C33F2E"/>
    <w:rsid w:val="00C438E3"/>
    <w:rsid w:val="00C4757A"/>
    <w:rsid w:val="00C534C8"/>
    <w:rsid w:val="00C561C6"/>
    <w:rsid w:val="00C63D3E"/>
    <w:rsid w:val="00C6540B"/>
    <w:rsid w:val="00C71999"/>
    <w:rsid w:val="00CA2EC5"/>
    <w:rsid w:val="00CA38D7"/>
    <w:rsid w:val="00CC205B"/>
    <w:rsid w:val="00CC443F"/>
    <w:rsid w:val="00CD03BC"/>
    <w:rsid w:val="00CD1741"/>
    <w:rsid w:val="00CE166A"/>
    <w:rsid w:val="00CE255B"/>
    <w:rsid w:val="00CE513D"/>
    <w:rsid w:val="00CE7BF7"/>
    <w:rsid w:val="00CF4D94"/>
    <w:rsid w:val="00D0016A"/>
    <w:rsid w:val="00D0318A"/>
    <w:rsid w:val="00D051D8"/>
    <w:rsid w:val="00D0599A"/>
    <w:rsid w:val="00D06875"/>
    <w:rsid w:val="00D12D05"/>
    <w:rsid w:val="00D222D6"/>
    <w:rsid w:val="00D27289"/>
    <w:rsid w:val="00D31544"/>
    <w:rsid w:val="00D32E6C"/>
    <w:rsid w:val="00D346A1"/>
    <w:rsid w:val="00D365D3"/>
    <w:rsid w:val="00D40F17"/>
    <w:rsid w:val="00D55A0D"/>
    <w:rsid w:val="00D64BE0"/>
    <w:rsid w:val="00D65E9F"/>
    <w:rsid w:val="00D66D08"/>
    <w:rsid w:val="00D818E9"/>
    <w:rsid w:val="00D9127E"/>
    <w:rsid w:val="00D915BB"/>
    <w:rsid w:val="00DA31A9"/>
    <w:rsid w:val="00DD0D46"/>
    <w:rsid w:val="00DD1175"/>
    <w:rsid w:val="00DD29A6"/>
    <w:rsid w:val="00DD5B64"/>
    <w:rsid w:val="00DE1946"/>
    <w:rsid w:val="00DE6BC5"/>
    <w:rsid w:val="00DE7F26"/>
    <w:rsid w:val="00DF07D8"/>
    <w:rsid w:val="00DF07E5"/>
    <w:rsid w:val="00DF149D"/>
    <w:rsid w:val="00E04624"/>
    <w:rsid w:val="00E17EA0"/>
    <w:rsid w:val="00E24535"/>
    <w:rsid w:val="00E27F80"/>
    <w:rsid w:val="00E34050"/>
    <w:rsid w:val="00E34E53"/>
    <w:rsid w:val="00E419E1"/>
    <w:rsid w:val="00E427FA"/>
    <w:rsid w:val="00E458DF"/>
    <w:rsid w:val="00E47A39"/>
    <w:rsid w:val="00E47A59"/>
    <w:rsid w:val="00E50372"/>
    <w:rsid w:val="00E51988"/>
    <w:rsid w:val="00E546B9"/>
    <w:rsid w:val="00E54B07"/>
    <w:rsid w:val="00E60A4C"/>
    <w:rsid w:val="00E651AB"/>
    <w:rsid w:val="00E74E49"/>
    <w:rsid w:val="00E81587"/>
    <w:rsid w:val="00E85A0E"/>
    <w:rsid w:val="00E877E1"/>
    <w:rsid w:val="00E93B47"/>
    <w:rsid w:val="00EA25FD"/>
    <w:rsid w:val="00EB0957"/>
    <w:rsid w:val="00ED1379"/>
    <w:rsid w:val="00ED34C8"/>
    <w:rsid w:val="00ED5BF4"/>
    <w:rsid w:val="00ED7616"/>
    <w:rsid w:val="00EF068E"/>
    <w:rsid w:val="00EF0F70"/>
    <w:rsid w:val="00EF25B0"/>
    <w:rsid w:val="00F00205"/>
    <w:rsid w:val="00F10BD3"/>
    <w:rsid w:val="00F26413"/>
    <w:rsid w:val="00F27225"/>
    <w:rsid w:val="00F30E2B"/>
    <w:rsid w:val="00F34512"/>
    <w:rsid w:val="00F351F7"/>
    <w:rsid w:val="00F3685E"/>
    <w:rsid w:val="00F3777C"/>
    <w:rsid w:val="00F40CAF"/>
    <w:rsid w:val="00F44CA8"/>
    <w:rsid w:val="00F4532E"/>
    <w:rsid w:val="00F52ABD"/>
    <w:rsid w:val="00F55F36"/>
    <w:rsid w:val="00F736C1"/>
    <w:rsid w:val="00F800C0"/>
    <w:rsid w:val="00F87384"/>
    <w:rsid w:val="00F90059"/>
    <w:rsid w:val="00F922C9"/>
    <w:rsid w:val="00FA595E"/>
    <w:rsid w:val="00FC4765"/>
    <w:rsid w:val="00FC61A1"/>
    <w:rsid w:val="00FD07A1"/>
    <w:rsid w:val="00FD19EC"/>
    <w:rsid w:val="00FD561B"/>
    <w:rsid w:val="00FF1E97"/>
    <w:rsid w:val="00FF2920"/>
    <w:rsid w:val="069E3316"/>
    <w:rsid w:val="0A56459C"/>
    <w:rsid w:val="0CB63132"/>
    <w:rsid w:val="11001F6F"/>
    <w:rsid w:val="168B2E9E"/>
    <w:rsid w:val="1BB91368"/>
    <w:rsid w:val="26744603"/>
    <w:rsid w:val="2B693A6A"/>
    <w:rsid w:val="2F936057"/>
    <w:rsid w:val="45C81527"/>
    <w:rsid w:val="4B243E1C"/>
    <w:rsid w:val="51C413B8"/>
    <w:rsid w:val="5275545D"/>
    <w:rsid w:val="550B7F36"/>
    <w:rsid w:val="5E3A6AB6"/>
    <w:rsid w:val="6029717B"/>
    <w:rsid w:val="61BD1CCD"/>
    <w:rsid w:val="6404275D"/>
    <w:rsid w:val="66105023"/>
    <w:rsid w:val="661C4185"/>
    <w:rsid w:val="670368F5"/>
    <w:rsid w:val="735721C4"/>
    <w:rsid w:val="78B240C5"/>
    <w:rsid w:val="7BA204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10">
    <w:name w:val="Default Paragraph Font"/>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2"/>
    <w:semiHidden/>
    <w:unhideWhenUsed/>
    <w:qFormat/>
    <w:uiPriority w:val="99"/>
  </w:style>
  <w:style w:type="paragraph" w:styleId="3">
    <w:name w:val="Body Text"/>
    <w:basedOn w:val="1"/>
    <w:link w:val="17"/>
    <w:qFormat/>
    <w:uiPriority w:val="0"/>
    <w:pPr>
      <w:spacing w:line="500" w:lineRule="atLeast"/>
    </w:pPr>
    <w:rPr>
      <w:rFonts w:ascii="宋体"/>
      <w:bCs/>
      <w:sz w:val="28"/>
    </w:rPr>
  </w:style>
  <w:style w:type="paragraph" w:styleId="4">
    <w:name w:val="Body Text Indent"/>
    <w:basedOn w:val="1"/>
    <w:link w:val="16"/>
    <w:qFormat/>
    <w:uiPriority w:val="0"/>
    <w:pPr>
      <w:spacing w:line="460" w:lineRule="atLeast"/>
      <w:ind w:firstLine="461" w:firstLineChars="192"/>
    </w:pPr>
    <w:rPr>
      <w:sz w:val="24"/>
    </w:rPr>
  </w:style>
  <w:style w:type="paragraph" w:styleId="5">
    <w:name w:val="Balloon Text"/>
    <w:basedOn w:val="1"/>
    <w:link w:val="18"/>
    <w:autoRedefine/>
    <w:semiHidden/>
    <w:unhideWhenUsed/>
    <w:qFormat/>
    <w:uiPriority w:val="99"/>
    <w:rPr>
      <w:sz w:val="18"/>
      <w:szCs w:val="18"/>
    </w:rPr>
  </w:style>
  <w:style w:type="paragraph" w:styleId="6">
    <w:name w:val="footer"/>
    <w:basedOn w:val="1"/>
    <w:link w:val="15"/>
    <w:autoRedefine/>
    <w:unhideWhenUsed/>
    <w:qFormat/>
    <w:uiPriority w:val="99"/>
    <w:pPr>
      <w:tabs>
        <w:tab w:val="center" w:pos="4153"/>
        <w:tab w:val="right" w:pos="8306"/>
      </w:tabs>
    </w:pPr>
    <w:rPr>
      <w:rFonts w:asciiTheme="minorHAnsi" w:hAnsiTheme="minorHAnsi" w:eastAsiaTheme="minorEastAsia"/>
      <w:sz w:val="18"/>
      <w:szCs w:val="18"/>
    </w:rPr>
  </w:style>
  <w:style w:type="paragraph" w:styleId="7">
    <w:name w:val="header"/>
    <w:basedOn w:val="1"/>
    <w:link w:val="14"/>
    <w:unhideWhenUsed/>
    <w:qFormat/>
    <w:uiPriority w:val="99"/>
    <w:pPr>
      <w:tabs>
        <w:tab w:val="center" w:pos="4153"/>
        <w:tab w:val="right" w:pos="8306"/>
      </w:tabs>
      <w:jc w:val="center"/>
    </w:pPr>
    <w:rPr>
      <w:rFonts w:asciiTheme="minorHAnsi" w:hAnsiTheme="minorHAnsi" w:eastAsiaTheme="minorEastAsia"/>
      <w:sz w:val="18"/>
      <w:szCs w:val="18"/>
    </w:rPr>
  </w:style>
  <w:style w:type="paragraph" w:styleId="8">
    <w:name w:val="annotation subject"/>
    <w:basedOn w:val="2"/>
    <w:next w:val="2"/>
    <w:link w:val="23"/>
    <w:semiHidden/>
    <w:unhideWhenUsed/>
    <w:qFormat/>
    <w:uiPriority w:val="99"/>
    <w:rPr>
      <w:b/>
      <w:bCs/>
    </w:rPr>
  </w:style>
  <w:style w:type="character" w:styleId="11">
    <w:name w:val="line number"/>
    <w:basedOn w:val="10"/>
    <w:semiHidden/>
    <w:unhideWhenUsed/>
    <w:qFormat/>
    <w:uiPriority w:val="99"/>
  </w:style>
  <w:style w:type="character" w:styleId="12">
    <w:name w:val="Hyperlink"/>
    <w:unhideWhenUsed/>
    <w:qFormat/>
    <w:uiPriority w:val="0"/>
    <w:rPr>
      <w:color w:val="0000FF"/>
      <w:u w:val="single"/>
    </w:rPr>
  </w:style>
  <w:style w:type="character" w:styleId="13">
    <w:name w:val="annotation reference"/>
    <w:basedOn w:val="10"/>
    <w:semiHidden/>
    <w:unhideWhenUsed/>
    <w:qFormat/>
    <w:uiPriority w:val="99"/>
    <w:rPr>
      <w:sz w:val="21"/>
      <w:szCs w:val="21"/>
    </w:rPr>
  </w:style>
  <w:style w:type="character" w:customStyle="1" w:styleId="14">
    <w:name w:val="页眉 字符"/>
    <w:basedOn w:val="10"/>
    <w:link w:val="7"/>
    <w:qFormat/>
    <w:uiPriority w:val="99"/>
    <w:rPr>
      <w:sz w:val="18"/>
      <w:szCs w:val="18"/>
    </w:rPr>
  </w:style>
  <w:style w:type="character" w:customStyle="1" w:styleId="15">
    <w:name w:val="页脚 字符"/>
    <w:basedOn w:val="10"/>
    <w:link w:val="6"/>
    <w:qFormat/>
    <w:uiPriority w:val="99"/>
    <w:rPr>
      <w:sz w:val="18"/>
      <w:szCs w:val="18"/>
    </w:rPr>
  </w:style>
  <w:style w:type="character" w:customStyle="1" w:styleId="16">
    <w:name w:val="正文文本缩进 字符"/>
    <w:basedOn w:val="10"/>
    <w:link w:val="4"/>
    <w:qFormat/>
    <w:uiPriority w:val="0"/>
    <w:rPr>
      <w:rFonts w:ascii="Times New Roman" w:hAnsi="Times New Roman" w:eastAsia="宋体" w:cs="Times New Roman"/>
      <w:sz w:val="24"/>
      <w:szCs w:val="24"/>
    </w:rPr>
  </w:style>
  <w:style w:type="character" w:customStyle="1" w:styleId="17">
    <w:name w:val="正文文本 字符"/>
    <w:basedOn w:val="10"/>
    <w:link w:val="3"/>
    <w:qFormat/>
    <w:uiPriority w:val="0"/>
    <w:rPr>
      <w:rFonts w:ascii="宋体" w:hAnsi="Times New Roman" w:eastAsia="宋体" w:cs="Times New Roman"/>
      <w:bCs/>
      <w:sz w:val="28"/>
      <w:szCs w:val="24"/>
    </w:rPr>
  </w:style>
  <w:style w:type="character" w:customStyle="1" w:styleId="18">
    <w:name w:val="批注框文本 字符"/>
    <w:basedOn w:val="10"/>
    <w:link w:val="5"/>
    <w:semiHidden/>
    <w:qFormat/>
    <w:uiPriority w:val="99"/>
    <w:rPr>
      <w:rFonts w:ascii="Times New Roman" w:hAnsi="Times New Roman" w:eastAsia="宋体" w:cs="Times New Roman"/>
      <w:sz w:val="18"/>
      <w:szCs w:val="18"/>
    </w:rPr>
  </w:style>
  <w:style w:type="character" w:customStyle="1" w:styleId="19">
    <w:name w:val="Char"/>
    <w:qFormat/>
    <w:uiPriority w:val="0"/>
    <w:rPr>
      <w:rFonts w:hint="eastAsia" w:ascii="宋体" w:hAnsi="宋体" w:eastAsia="宋体"/>
      <w:kern w:val="2"/>
      <w:sz w:val="31"/>
      <w:lang w:val="en-US" w:eastAsia="zh-CN" w:bidi="ar-SA"/>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21">
    <w:name w:val="List Paragraph"/>
    <w:basedOn w:val="1"/>
    <w:qFormat/>
    <w:uiPriority w:val="34"/>
    <w:pPr>
      <w:ind w:firstLine="420" w:firstLineChars="200"/>
    </w:pPr>
  </w:style>
  <w:style w:type="character" w:customStyle="1" w:styleId="22">
    <w:name w:val="批注文字 字符"/>
    <w:basedOn w:val="10"/>
    <w:link w:val="2"/>
    <w:semiHidden/>
    <w:qFormat/>
    <w:uiPriority w:val="99"/>
    <w:rPr>
      <w:rFonts w:ascii="Times New Roman" w:hAnsi="Times New Roman" w:eastAsia="仿宋_GB2312"/>
      <w:sz w:val="32"/>
    </w:rPr>
  </w:style>
  <w:style w:type="character" w:customStyle="1" w:styleId="23">
    <w:name w:val="批注主题 字符"/>
    <w:basedOn w:val="22"/>
    <w:link w:val="8"/>
    <w:semiHidden/>
    <w:qFormat/>
    <w:uiPriority w:val="99"/>
    <w:rPr>
      <w:rFonts w:ascii="Times New Roman" w:hAnsi="Times New Roman" w:eastAsia="仿宋_GB2312"/>
      <w:b/>
      <w:bCs/>
      <w:sz w:val="32"/>
    </w:rPr>
  </w:style>
  <w:style w:type="paragraph" w:customStyle="1" w:styleId="24">
    <w:name w:val="Revision"/>
    <w:hidden/>
    <w:unhideWhenUsed/>
    <w:uiPriority w:val="99"/>
    <w:rPr>
      <w:rFonts w:ascii="Times New Roman" w:hAnsi="Times New Roman" w:eastAsia="仿宋_GB2312" w:cstheme="minorBidi"/>
      <w:kern w:val="2"/>
      <w:sz w:val="32"/>
      <w:szCs w:val="21"/>
      <w:lang w:val="en-US" w:eastAsia="zh-CN" w:bidi="ar-SA"/>
    </w:rPr>
  </w:style>
  <w:style w:type="character" w:customStyle="1" w:styleId="25">
    <w:name w:val="Unresolved Mention"/>
    <w:basedOn w:val="10"/>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136433-FAAF-42F9-9807-6D2A488C0D14}">
  <ds:schemaRefs/>
</ds:datastoreItem>
</file>

<file path=docProps/app.xml><?xml version="1.0" encoding="utf-8"?>
<Properties xmlns="http://schemas.openxmlformats.org/officeDocument/2006/extended-properties" xmlns:vt="http://schemas.openxmlformats.org/officeDocument/2006/docPropsVTypes">
  <Template>中山大学-智能红头</Template>
  <Company>SYSU</Company>
  <Pages>6</Pages>
  <Words>670</Words>
  <Characters>704</Characters>
  <Lines>18</Lines>
  <Paragraphs>5</Paragraphs>
  <TotalTime>13</TotalTime>
  <ScaleCrop>false</ScaleCrop>
  <LinksUpToDate>false</LinksUpToDate>
  <CharactersWithSpaces>706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2025-02-09T02:53:00Z</dcterms:created>
  <dc:creator>Administrator</dc:creator>
  <cp:lastModifiedBy>研究生院</cp:lastModifiedBy>
  <cp:lastPrinted>2016-11-03T09:16:00Z</cp:lastPrinted>
  <dcterms:modified xsi:type="dcterms:W3CDTF">2025-02-10T08:19:20Z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974E24DA5E214DFA827FC8762C556C3D</vt:lpwstr>
  </property>
  <property fmtid="{D5CDD505-2E9C-101B-9397-08002B2CF9AE}" pid="3" name="KSOProductBuildVer">
    <vt:lpwstr>2052-12.1.0.19770</vt:lpwstr>
  </property>
  <property fmtid="{D5CDD505-2E9C-101B-9397-08002B2CF9AE}" pid="4" name="KSOTemplateDocerSaveRecord">
    <vt:lpwstr>eyJoZGlkIjoiZjgwMjljZTZhMGFkNDIxODlmOTNhMDU4OTk2ZGJjY2IiLCJ1c2VySWQiOiIyNDU4OTgxMjkifQ==</vt:lpwstr>
  </property>
</Properties>
</file>