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6D1" w:rsidRDefault="0022483A" w:rsidP="00DA7245">
      <w:pPr>
        <w:spacing w:line="360" w:lineRule="auto"/>
        <w:jc w:val="center"/>
        <w:rPr>
          <w:rFonts w:ascii="华文中宋" w:eastAsia="华文中宋" w:hAnsi="华文中宋"/>
          <w:b/>
          <w:sz w:val="36"/>
        </w:rPr>
      </w:pPr>
      <w:r>
        <w:rPr>
          <w:rFonts w:ascii="华文中宋" w:eastAsia="华文中宋" w:hAnsi="华文中宋" w:hint="eastAsia"/>
          <w:b/>
          <w:sz w:val="36"/>
        </w:rPr>
        <w:t>经济学专业介绍</w:t>
      </w:r>
    </w:p>
    <w:p w:rsidR="004106D1" w:rsidRDefault="004106D1" w:rsidP="00DA7245">
      <w:pPr>
        <w:spacing w:line="360" w:lineRule="auto"/>
        <w:jc w:val="center"/>
        <w:rPr>
          <w:b/>
        </w:rPr>
      </w:pPr>
    </w:p>
    <w:p w:rsidR="004106D1" w:rsidRPr="00D72650" w:rsidRDefault="0022483A" w:rsidP="00DA7245">
      <w:pPr>
        <w:spacing w:line="360" w:lineRule="auto"/>
        <w:rPr>
          <w:rFonts w:ascii="华文中宋" w:eastAsia="华文中宋" w:hAnsi="华文中宋"/>
          <w:b/>
          <w:sz w:val="28"/>
        </w:rPr>
      </w:pPr>
      <w:r w:rsidRPr="00D72650">
        <w:rPr>
          <w:rFonts w:ascii="华文中宋" w:eastAsia="华文中宋" w:hAnsi="华文中宋" w:hint="eastAsia"/>
          <w:b/>
          <w:sz w:val="28"/>
        </w:rPr>
        <w:t>一、专业基本介绍</w:t>
      </w:r>
    </w:p>
    <w:p w:rsidR="004106D1" w:rsidRDefault="0022483A" w:rsidP="00DA7245">
      <w:pPr>
        <w:spacing w:line="360" w:lineRule="auto"/>
        <w:jc w:val="left"/>
        <w:rPr>
          <w:rFonts w:ascii="Times New Roman" w:eastAsia="仿宋_GB2312" w:hAnsi="Times New Roman" w:cs="Times New Roman"/>
          <w:b/>
          <w:sz w:val="24"/>
          <w:szCs w:val="24"/>
        </w:rPr>
      </w:pPr>
      <w:r>
        <w:rPr>
          <w:rFonts w:ascii="Times New Roman" w:eastAsia="仿宋_GB2312" w:hAnsi="Times New Roman" w:cs="Times New Roman" w:hint="eastAsia"/>
          <w:b/>
          <w:sz w:val="24"/>
          <w:szCs w:val="24"/>
        </w:rPr>
        <w:t>1</w:t>
      </w:r>
      <w:r>
        <w:rPr>
          <w:rFonts w:ascii="Times New Roman" w:eastAsia="仿宋_GB2312" w:hAnsi="Times New Roman" w:cs="Times New Roman" w:hint="eastAsia"/>
          <w:b/>
          <w:sz w:val="24"/>
          <w:szCs w:val="24"/>
        </w:rPr>
        <w:t>、专业定位</w:t>
      </w:r>
    </w:p>
    <w:p w:rsidR="004106D1" w:rsidRDefault="0022483A" w:rsidP="00DA7245">
      <w:pPr>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经济学是以人类社会在各个发展阶段上的各种经济活动和相应经济关系及其运行、发展规律为研究对象的学科，其核心思想是物质稀缺性和有效利用资源。</w:t>
      </w:r>
    </w:p>
    <w:p w:rsidR="004106D1" w:rsidRDefault="0022483A" w:rsidP="00DA7245">
      <w:pPr>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本专业同时依托理论经济学和应用经济学两个一级学科，以理论学习为主，兼具很强的应用性与实践性。旨在培养具有扎实的专业基础知识和基本理论，以及具有国际视野和创新能力的高素质经济学专门人才。</w:t>
      </w:r>
    </w:p>
    <w:p w:rsidR="004106D1" w:rsidRDefault="004106D1" w:rsidP="00DA7245">
      <w:pPr>
        <w:spacing w:line="360" w:lineRule="auto"/>
        <w:ind w:firstLineChars="200" w:firstLine="480"/>
        <w:rPr>
          <w:rFonts w:ascii="Times New Roman" w:eastAsia="仿宋_GB2312" w:hAnsi="Times New Roman" w:cs="Times New Roman"/>
          <w:sz w:val="24"/>
          <w:szCs w:val="24"/>
        </w:rPr>
      </w:pPr>
    </w:p>
    <w:p w:rsidR="004106D1" w:rsidRDefault="0022483A" w:rsidP="00DA7245">
      <w:pPr>
        <w:spacing w:line="360" w:lineRule="auto"/>
        <w:jc w:val="left"/>
        <w:rPr>
          <w:rFonts w:ascii="Times New Roman" w:eastAsia="仿宋_GB2312" w:hAnsi="Times New Roman" w:cs="Times New Roman"/>
          <w:b/>
          <w:sz w:val="24"/>
          <w:szCs w:val="24"/>
        </w:rPr>
      </w:pPr>
      <w:r>
        <w:rPr>
          <w:rFonts w:ascii="Times New Roman" w:eastAsia="仿宋_GB2312" w:hAnsi="Times New Roman" w:cs="Times New Roman" w:hint="eastAsia"/>
          <w:b/>
          <w:sz w:val="24"/>
          <w:szCs w:val="24"/>
        </w:rPr>
        <w:t>2</w:t>
      </w:r>
      <w:r>
        <w:rPr>
          <w:rFonts w:ascii="Times New Roman" w:eastAsia="仿宋_GB2312" w:hAnsi="Times New Roman" w:cs="Times New Roman" w:hint="eastAsia"/>
          <w:b/>
          <w:sz w:val="24"/>
          <w:szCs w:val="24"/>
        </w:rPr>
        <w:t>、培养目标</w:t>
      </w:r>
    </w:p>
    <w:p w:rsidR="004106D1" w:rsidRDefault="0022483A" w:rsidP="00DA7245">
      <w:pPr>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中山大学岭南学院经济学专业是</w:t>
      </w:r>
      <w:r w:rsidR="007F05FD">
        <w:rPr>
          <w:rFonts w:ascii="Times New Roman" w:eastAsia="仿宋_GB2312" w:hAnsi="Times New Roman" w:cs="Times New Roman" w:hint="eastAsia"/>
          <w:sz w:val="24"/>
          <w:szCs w:val="24"/>
        </w:rPr>
        <w:t>首批</w:t>
      </w:r>
      <w:r w:rsidRPr="007F05FD">
        <w:rPr>
          <w:rFonts w:ascii="Times New Roman" w:eastAsia="仿宋_GB2312" w:hAnsi="Times New Roman" w:cs="Times New Roman" w:hint="eastAsia"/>
          <w:sz w:val="24"/>
          <w:szCs w:val="24"/>
        </w:rPr>
        <w:t>国</w:t>
      </w:r>
      <w:r>
        <w:rPr>
          <w:rFonts w:ascii="Times New Roman" w:eastAsia="仿宋_GB2312" w:hAnsi="Times New Roman" w:cs="Times New Roman" w:hint="eastAsia"/>
          <w:sz w:val="24"/>
          <w:szCs w:val="24"/>
        </w:rPr>
        <w:t>家级一流本科专业建设点。本专业</w:t>
      </w:r>
      <w:r w:rsidR="000F5419" w:rsidRPr="000F5419">
        <w:rPr>
          <w:rFonts w:ascii="Times New Roman" w:eastAsia="仿宋_GB2312" w:hAnsi="Times New Roman" w:cs="Times New Roman" w:hint="eastAsia"/>
          <w:sz w:val="24"/>
          <w:szCs w:val="24"/>
        </w:rPr>
        <w:t>将通识教育与专业教育相结合、把科学教育和人文教育相结合</w:t>
      </w:r>
      <w:r>
        <w:rPr>
          <w:rFonts w:ascii="Times New Roman" w:eastAsia="仿宋_GB2312" w:hAnsi="Times New Roman" w:cs="Times New Roman" w:hint="eastAsia"/>
          <w:sz w:val="24"/>
          <w:szCs w:val="24"/>
        </w:rPr>
        <w:t>，以“作育英才，服务社会”为理念，</w:t>
      </w:r>
      <w:r w:rsidR="000F5419" w:rsidRPr="000F5419">
        <w:rPr>
          <w:rFonts w:ascii="Times New Roman" w:eastAsia="仿宋_GB2312" w:hAnsi="Times New Roman" w:cs="Times New Roman" w:hint="eastAsia"/>
          <w:sz w:val="24"/>
          <w:szCs w:val="24"/>
        </w:rPr>
        <w:t>促进学生主动地学习、跨学科地学习、通过研究和实践学习</w:t>
      </w:r>
      <w:r w:rsidR="000F5419">
        <w:rPr>
          <w:rFonts w:ascii="Times New Roman" w:eastAsia="仿宋_GB2312" w:hAnsi="Times New Roman" w:cs="Times New Roman" w:hint="eastAsia"/>
          <w:sz w:val="24"/>
          <w:szCs w:val="24"/>
        </w:rPr>
        <w:t>，</w:t>
      </w:r>
      <w:r>
        <w:rPr>
          <w:rFonts w:ascii="Times New Roman" w:eastAsia="仿宋_GB2312" w:hAnsi="Times New Roman" w:cs="Times New Roman" w:hint="eastAsia"/>
          <w:sz w:val="24"/>
          <w:szCs w:val="24"/>
        </w:rPr>
        <w:t>培养具有良好的思想品德和道德修养，自觉践行社会主义核心价值观，具有扎实的专业基础知识和基本理论，掌握现代经济学的基本方法，熟悉中国经济运行与改革实践，具有国际视野和发现问题、分析问题、解决问题的实践与创新能力的高素质经济学专门人才。培养学生具有良好的数学修养和英语表达能力、良好的沟通能力和思辨能力；初步具有独立科研能力和进一步学术深造的潜质和基础，能独立从事管理、咨询和实务工作，成为具有先进性、适应性、国际化特征的理论创新型人才。培养学生学术兴趣，指导学生参与教师的各类项目研究，引导他们申请国内外硕士和博士项目，争取本专业学生读研率达</w:t>
      </w:r>
      <w:r>
        <w:rPr>
          <w:rFonts w:ascii="Times New Roman" w:eastAsia="仿宋_GB2312" w:hAnsi="Times New Roman" w:cs="Times New Roman"/>
          <w:sz w:val="24"/>
          <w:szCs w:val="24"/>
        </w:rPr>
        <w:t>80%</w:t>
      </w:r>
      <w:r>
        <w:rPr>
          <w:rFonts w:ascii="Times New Roman" w:eastAsia="仿宋_GB2312" w:hAnsi="Times New Roman" w:cs="Times New Roman"/>
          <w:sz w:val="24"/>
          <w:szCs w:val="24"/>
        </w:rPr>
        <w:t>以上。</w:t>
      </w:r>
    </w:p>
    <w:p w:rsidR="004106D1" w:rsidRDefault="004106D1" w:rsidP="00DA7245">
      <w:pPr>
        <w:spacing w:line="360" w:lineRule="auto"/>
        <w:ind w:firstLineChars="200" w:firstLine="480"/>
        <w:rPr>
          <w:rFonts w:ascii="Times New Roman" w:eastAsia="仿宋_GB2312" w:hAnsi="Times New Roman" w:cs="Times New Roman"/>
          <w:sz w:val="24"/>
          <w:szCs w:val="24"/>
        </w:rPr>
      </w:pPr>
    </w:p>
    <w:p w:rsidR="004106D1" w:rsidRDefault="0022483A" w:rsidP="00DA7245">
      <w:pPr>
        <w:spacing w:line="360" w:lineRule="auto"/>
        <w:jc w:val="left"/>
        <w:rPr>
          <w:rFonts w:ascii="Times New Roman" w:eastAsia="仿宋_GB2312" w:hAnsi="Times New Roman" w:cs="Times New Roman"/>
          <w:b/>
          <w:sz w:val="24"/>
          <w:szCs w:val="24"/>
        </w:rPr>
      </w:pPr>
      <w:r>
        <w:rPr>
          <w:rFonts w:ascii="Times New Roman" w:eastAsia="仿宋_GB2312" w:hAnsi="Times New Roman" w:cs="Times New Roman" w:hint="eastAsia"/>
          <w:b/>
          <w:sz w:val="24"/>
          <w:szCs w:val="24"/>
        </w:rPr>
        <w:t>3</w:t>
      </w:r>
      <w:r>
        <w:rPr>
          <w:rFonts w:ascii="Times New Roman" w:eastAsia="仿宋_GB2312" w:hAnsi="Times New Roman" w:cs="Times New Roman" w:hint="eastAsia"/>
          <w:b/>
          <w:sz w:val="24"/>
          <w:szCs w:val="24"/>
        </w:rPr>
        <w:t>、培养规格</w:t>
      </w:r>
    </w:p>
    <w:p w:rsidR="004106D1" w:rsidRDefault="0022483A" w:rsidP="00DA7245">
      <w:pPr>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本专业学制</w:t>
      </w:r>
      <w:r>
        <w:rPr>
          <w:rFonts w:ascii="Times New Roman" w:eastAsia="仿宋_GB2312" w:hAnsi="Times New Roman" w:cs="Times New Roman" w:hint="eastAsia"/>
          <w:sz w:val="24"/>
          <w:szCs w:val="24"/>
        </w:rPr>
        <w:t>4</w:t>
      </w:r>
      <w:r>
        <w:rPr>
          <w:rFonts w:ascii="Times New Roman" w:eastAsia="仿宋_GB2312" w:hAnsi="Times New Roman" w:cs="Times New Roman" w:hint="eastAsia"/>
          <w:sz w:val="24"/>
          <w:szCs w:val="24"/>
        </w:rPr>
        <w:t>年，学生需完成修完</w:t>
      </w:r>
      <w:r>
        <w:rPr>
          <w:rFonts w:ascii="Times New Roman" w:eastAsia="仿宋_GB2312" w:hAnsi="Times New Roman" w:cs="Times New Roman" w:hint="eastAsia"/>
          <w:sz w:val="24"/>
          <w:szCs w:val="24"/>
        </w:rPr>
        <w:t>1</w:t>
      </w:r>
      <w:r>
        <w:rPr>
          <w:rFonts w:ascii="Times New Roman" w:eastAsia="仿宋_GB2312" w:hAnsi="Times New Roman" w:cs="Times New Roman"/>
          <w:sz w:val="24"/>
          <w:szCs w:val="24"/>
        </w:rPr>
        <w:t>65</w:t>
      </w:r>
      <w:r>
        <w:rPr>
          <w:rFonts w:ascii="Times New Roman" w:eastAsia="仿宋_GB2312" w:hAnsi="Times New Roman" w:cs="Times New Roman" w:hint="eastAsia"/>
          <w:sz w:val="24"/>
          <w:szCs w:val="24"/>
        </w:rPr>
        <w:t>个学分。下表是各类课程的学分构成情况。</w:t>
      </w:r>
    </w:p>
    <w:p w:rsidR="00DA7245" w:rsidRDefault="00DA7245" w:rsidP="00DA7245">
      <w:pPr>
        <w:spacing w:line="360" w:lineRule="auto"/>
        <w:ind w:firstLineChars="200" w:firstLine="480"/>
        <w:rPr>
          <w:rFonts w:ascii="Times New Roman" w:eastAsia="仿宋_GB2312" w:hAnsi="Times New Roman" w:cs="Times New Roman"/>
          <w:sz w:val="24"/>
          <w:szCs w:val="24"/>
        </w:rPr>
      </w:pPr>
    </w:p>
    <w:p w:rsidR="00DA7245" w:rsidRDefault="00DA7245" w:rsidP="00DA7245">
      <w:pPr>
        <w:spacing w:line="360" w:lineRule="auto"/>
        <w:ind w:firstLineChars="200" w:firstLine="480"/>
        <w:rPr>
          <w:rFonts w:ascii="Times New Roman" w:eastAsia="仿宋_GB2312" w:hAnsi="Times New Roman" w:cs="Times New Roman"/>
          <w:sz w:val="24"/>
          <w:szCs w:val="24"/>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4"/>
        <w:gridCol w:w="1976"/>
        <w:gridCol w:w="1975"/>
        <w:gridCol w:w="1924"/>
        <w:gridCol w:w="1416"/>
      </w:tblGrid>
      <w:tr w:rsidR="004106D1">
        <w:trPr>
          <w:trHeight w:val="563"/>
          <w:jc w:val="center"/>
        </w:trPr>
        <w:tc>
          <w:tcPr>
            <w:tcW w:w="3190" w:type="dxa"/>
            <w:gridSpan w:val="2"/>
            <w:tcBorders>
              <w:top w:val="single" w:sz="4" w:space="0" w:color="auto"/>
              <w:left w:val="single" w:sz="4" w:space="0" w:color="auto"/>
              <w:bottom w:val="single" w:sz="4" w:space="0" w:color="auto"/>
              <w:right w:val="single" w:sz="4" w:space="0" w:color="auto"/>
            </w:tcBorders>
            <w:vAlign w:val="center"/>
          </w:tcPr>
          <w:p w:rsidR="004106D1" w:rsidRDefault="0022483A" w:rsidP="00DA7245">
            <w:pPr>
              <w:adjustRightInd w:val="0"/>
              <w:snapToGrid w:val="0"/>
              <w:spacing w:line="360" w:lineRule="auto"/>
              <w:jc w:val="center"/>
              <w:rPr>
                <w:rFonts w:eastAsia="仿宋_GB2312"/>
                <w:b/>
                <w:snapToGrid w:val="0"/>
                <w:sz w:val="24"/>
                <w:szCs w:val="24"/>
              </w:rPr>
            </w:pPr>
            <w:r>
              <w:rPr>
                <w:rFonts w:eastAsia="仿宋_GB2312" w:hint="eastAsia"/>
                <w:b/>
                <w:snapToGrid w:val="0"/>
                <w:sz w:val="24"/>
                <w:szCs w:val="24"/>
              </w:rPr>
              <w:lastRenderedPageBreak/>
              <w:t>课程类型</w:t>
            </w:r>
          </w:p>
        </w:tc>
        <w:tc>
          <w:tcPr>
            <w:tcW w:w="1975" w:type="dxa"/>
            <w:tcBorders>
              <w:top w:val="single" w:sz="4" w:space="0" w:color="auto"/>
              <w:left w:val="single" w:sz="4" w:space="0" w:color="auto"/>
              <w:bottom w:val="single" w:sz="4" w:space="0" w:color="auto"/>
              <w:right w:val="single" w:sz="4" w:space="0" w:color="auto"/>
            </w:tcBorders>
            <w:vAlign w:val="center"/>
          </w:tcPr>
          <w:p w:rsidR="004106D1" w:rsidRDefault="0022483A" w:rsidP="00DA7245">
            <w:pPr>
              <w:adjustRightInd w:val="0"/>
              <w:snapToGrid w:val="0"/>
              <w:spacing w:line="360" w:lineRule="auto"/>
              <w:jc w:val="center"/>
              <w:rPr>
                <w:rFonts w:eastAsia="仿宋_GB2312"/>
                <w:b/>
                <w:snapToGrid w:val="0"/>
                <w:sz w:val="24"/>
                <w:szCs w:val="24"/>
              </w:rPr>
            </w:pPr>
            <w:r>
              <w:rPr>
                <w:rFonts w:eastAsia="仿宋_GB2312" w:hint="eastAsia"/>
                <w:b/>
                <w:snapToGrid w:val="0"/>
                <w:sz w:val="24"/>
                <w:szCs w:val="24"/>
              </w:rPr>
              <w:t>学分要求</w:t>
            </w:r>
          </w:p>
        </w:tc>
        <w:tc>
          <w:tcPr>
            <w:tcW w:w="1924" w:type="dxa"/>
            <w:tcBorders>
              <w:top w:val="single" w:sz="4" w:space="0" w:color="auto"/>
              <w:left w:val="single" w:sz="4" w:space="0" w:color="auto"/>
              <w:bottom w:val="single" w:sz="4" w:space="0" w:color="auto"/>
              <w:right w:val="single" w:sz="4" w:space="0" w:color="auto"/>
            </w:tcBorders>
            <w:vAlign w:val="center"/>
          </w:tcPr>
          <w:p w:rsidR="004106D1" w:rsidRDefault="0022483A" w:rsidP="00DA7245">
            <w:pPr>
              <w:adjustRightInd w:val="0"/>
              <w:snapToGrid w:val="0"/>
              <w:spacing w:line="360" w:lineRule="auto"/>
              <w:jc w:val="center"/>
              <w:rPr>
                <w:rFonts w:eastAsia="仿宋_GB2312"/>
                <w:b/>
                <w:snapToGrid w:val="0"/>
                <w:sz w:val="24"/>
                <w:szCs w:val="24"/>
              </w:rPr>
            </w:pPr>
            <w:r>
              <w:rPr>
                <w:rFonts w:eastAsia="仿宋_GB2312" w:hint="eastAsia"/>
                <w:b/>
                <w:snapToGrid w:val="0"/>
                <w:sz w:val="24"/>
                <w:szCs w:val="24"/>
              </w:rPr>
              <w:t>所占比例</w:t>
            </w:r>
          </w:p>
        </w:tc>
        <w:tc>
          <w:tcPr>
            <w:tcW w:w="1416" w:type="dxa"/>
            <w:tcBorders>
              <w:top w:val="single" w:sz="4" w:space="0" w:color="auto"/>
              <w:left w:val="single" w:sz="4" w:space="0" w:color="auto"/>
              <w:bottom w:val="single" w:sz="4" w:space="0" w:color="auto"/>
              <w:right w:val="single" w:sz="4" w:space="0" w:color="auto"/>
            </w:tcBorders>
            <w:vAlign w:val="center"/>
          </w:tcPr>
          <w:p w:rsidR="004106D1" w:rsidRDefault="0022483A" w:rsidP="00DA7245">
            <w:pPr>
              <w:adjustRightInd w:val="0"/>
              <w:snapToGrid w:val="0"/>
              <w:spacing w:line="360" w:lineRule="auto"/>
              <w:jc w:val="center"/>
              <w:rPr>
                <w:rFonts w:eastAsia="仿宋_GB2312"/>
                <w:b/>
                <w:snapToGrid w:val="0"/>
                <w:sz w:val="24"/>
                <w:szCs w:val="24"/>
              </w:rPr>
            </w:pPr>
            <w:r>
              <w:rPr>
                <w:rFonts w:eastAsia="仿宋_GB2312" w:hint="eastAsia"/>
                <w:b/>
                <w:snapToGrid w:val="0"/>
                <w:sz w:val="24"/>
                <w:szCs w:val="24"/>
              </w:rPr>
              <w:t>课程属性</w:t>
            </w:r>
          </w:p>
        </w:tc>
      </w:tr>
      <w:tr w:rsidR="004106D1">
        <w:trPr>
          <w:jc w:val="center"/>
        </w:trPr>
        <w:tc>
          <w:tcPr>
            <w:tcW w:w="1214" w:type="dxa"/>
            <w:vMerge w:val="restart"/>
            <w:tcBorders>
              <w:top w:val="single" w:sz="4" w:space="0" w:color="auto"/>
              <w:left w:val="single" w:sz="4" w:space="0" w:color="auto"/>
              <w:bottom w:val="single" w:sz="4" w:space="0" w:color="auto"/>
              <w:right w:val="single" w:sz="4" w:space="0" w:color="auto"/>
            </w:tcBorders>
            <w:vAlign w:val="center"/>
          </w:tcPr>
          <w:p w:rsidR="004106D1" w:rsidRDefault="0022483A" w:rsidP="00DA7245">
            <w:pPr>
              <w:adjustRightInd w:val="0"/>
              <w:snapToGrid w:val="0"/>
              <w:spacing w:line="360" w:lineRule="auto"/>
              <w:jc w:val="center"/>
              <w:rPr>
                <w:rFonts w:eastAsia="仿宋_GB2312"/>
                <w:b/>
                <w:snapToGrid w:val="0"/>
                <w:sz w:val="24"/>
                <w:szCs w:val="24"/>
              </w:rPr>
            </w:pPr>
            <w:r>
              <w:rPr>
                <w:rFonts w:eastAsia="仿宋_GB2312" w:hint="eastAsia"/>
                <w:b/>
                <w:snapToGrid w:val="0"/>
                <w:sz w:val="24"/>
                <w:szCs w:val="24"/>
              </w:rPr>
              <w:t>公共基础课</w:t>
            </w:r>
          </w:p>
        </w:tc>
        <w:tc>
          <w:tcPr>
            <w:tcW w:w="1976" w:type="dxa"/>
            <w:tcBorders>
              <w:top w:val="single" w:sz="4" w:space="0" w:color="auto"/>
              <w:left w:val="single" w:sz="4" w:space="0" w:color="auto"/>
              <w:bottom w:val="single" w:sz="4" w:space="0" w:color="auto"/>
              <w:right w:val="single" w:sz="4" w:space="0" w:color="auto"/>
            </w:tcBorders>
            <w:vAlign w:val="center"/>
          </w:tcPr>
          <w:p w:rsidR="004106D1" w:rsidRDefault="0022483A" w:rsidP="00DA7245">
            <w:pPr>
              <w:adjustRightInd w:val="0"/>
              <w:snapToGrid w:val="0"/>
              <w:spacing w:line="360" w:lineRule="auto"/>
              <w:jc w:val="center"/>
              <w:rPr>
                <w:rFonts w:eastAsia="仿宋_GB2312"/>
                <w:snapToGrid w:val="0"/>
                <w:sz w:val="24"/>
                <w:szCs w:val="24"/>
              </w:rPr>
            </w:pPr>
            <w:r>
              <w:rPr>
                <w:rFonts w:eastAsia="仿宋_GB2312" w:hint="eastAsia"/>
                <w:snapToGrid w:val="0"/>
                <w:sz w:val="24"/>
                <w:szCs w:val="24"/>
              </w:rPr>
              <w:t>公共必修课</w:t>
            </w:r>
          </w:p>
        </w:tc>
        <w:tc>
          <w:tcPr>
            <w:tcW w:w="1975" w:type="dxa"/>
            <w:tcBorders>
              <w:top w:val="single" w:sz="4" w:space="0" w:color="auto"/>
              <w:left w:val="single" w:sz="4" w:space="0" w:color="auto"/>
              <w:bottom w:val="single" w:sz="4" w:space="0" w:color="auto"/>
              <w:right w:val="single" w:sz="4" w:space="0" w:color="auto"/>
            </w:tcBorders>
            <w:vAlign w:val="center"/>
          </w:tcPr>
          <w:p w:rsidR="004106D1" w:rsidRDefault="0022483A" w:rsidP="00DA7245">
            <w:pPr>
              <w:adjustRightInd w:val="0"/>
              <w:snapToGrid w:val="0"/>
              <w:spacing w:line="360" w:lineRule="auto"/>
              <w:jc w:val="center"/>
              <w:rPr>
                <w:rFonts w:ascii="Times New Roman" w:eastAsia="仿宋_GB2312" w:hAnsi="Times New Roman" w:cs="Times New Roman"/>
                <w:snapToGrid w:val="0"/>
                <w:sz w:val="24"/>
                <w:szCs w:val="24"/>
              </w:rPr>
            </w:pPr>
            <w:r>
              <w:rPr>
                <w:rFonts w:ascii="Times New Roman" w:eastAsia="仿宋_GB2312" w:hAnsi="Times New Roman" w:cs="Times New Roman"/>
                <w:snapToGrid w:val="0"/>
                <w:sz w:val="24"/>
                <w:szCs w:val="24"/>
              </w:rPr>
              <w:t>37</w:t>
            </w:r>
          </w:p>
        </w:tc>
        <w:tc>
          <w:tcPr>
            <w:tcW w:w="1924" w:type="dxa"/>
            <w:vMerge w:val="restart"/>
            <w:tcBorders>
              <w:top w:val="single" w:sz="4" w:space="0" w:color="auto"/>
              <w:left w:val="single" w:sz="4" w:space="0" w:color="auto"/>
              <w:bottom w:val="single" w:sz="4" w:space="0" w:color="auto"/>
              <w:right w:val="single" w:sz="4" w:space="0" w:color="auto"/>
            </w:tcBorders>
            <w:vAlign w:val="center"/>
          </w:tcPr>
          <w:p w:rsidR="004106D1" w:rsidRDefault="0022483A" w:rsidP="00DA7245">
            <w:pPr>
              <w:adjustRightInd w:val="0"/>
              <w:snapToGrid w:val="0"/>
              <w:spacing w:line="360" w:lineRule="auto"/>
              <w:jc w:val="center"/>
              <w:rPr>
                <w:rFonts w:ascii="Times New Roman" w:eastAsia="仿宋_GB2312" w:hAnsi="Times New Roman" w:cs="Times New Roman"/>
                <w:snapToGrid w:val="0"/>
                <w:sz w:val="24"/>
                <w:szCs w:val="24"/>
              </w:rPr>
            </w:pPr>
            <w:r>
              <w:rPr>
                <w:rFonts w:ascii="Times New Roman" w:eastAsia="仿宋_GB2312" w:hAnsi="Times New Roman" w:cs="Times New Roman"/>
                <w:snapToGrid w:val="0"/>
                <w:sz w:val="24"/>
                <w:szCs w:val="24"/>
              </w:rPr>
              <w:t>27.3%</w:t>
            </w:r>
          </w:p>
        </w:tc>
        <w:tc>
          <w:tcPr>
            <w:tcW w:w="1416" w:type="dxa"/>
            <w:tcBorders>
              <w:top w:val="single" w:sz="4" w:space="0" w:color="auto"/>
              <w:left w:val="single" w:sz="4" w:space="0" w:color="auto"/>
              <w:bottom w:val="single" w:sz="4" w:space="0" w:color="auto"/>
              <w:right w:val="single" w:sz="4" w:space="0" w:color="auto"/>
            </w:tcBorders>
            <w:vAlign w:val="center"/>
          </w:tcPr>
          <w:p w:rsidR="004106D1" w:rsidRDefault="0022483A" w:rsidP="00DA7245">
            <w:pPr>
              <w:adjustRightInd w:val="0"/>
              <w:snapToGrid w:val="0"/>
              <w:spacing w:line="360" w:lineRule="auto"/>
              <w:jc w:val="center"/>
              <w:rPr>
                <w:rFonts w:eastAsia="仿宋_GB2312"/>
                <w:snapToGrid w:val="0"/>
                <w:sz w:val="24"/>
                <w:szCs w:val="24"/>
              </w:rPr>
            </w:pPr>
            <w:r>
              <w:rPr>
                <w:rFonts w:eastAsia="仿宋_GB2312" w:hint="eastAsia"/>
                <w:snapToGrid w:val="0"/>
                <w:sz w:val="24"/>
                <w:szCs w:val="24"/>
              </w:rPr>
              <w:t>公必</w:t>
            </w:r>
          </w:p>
        </w:tc>
      </w:tr>
      <w:tr w:rsidR="004106D1">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4106D1" w:rsidRDefault="004106D1" w:rsidP="00DA7245">
            <w:pPr>
              <w:widowControl/>
              <w:spacing w:line="360" w:lineRule="auto"/>
              <w:jc w:val="left"/>
              <w:rPr>
                <w:rFonts w:eastAsia="仿宋_GB2312"/>
                <w:b/>
                <w:snapToGrid w:val="0"/>
                <w:sz w:val="24"/>
                <w:szCs w:val="24"/>
              </w:rPr>
            </w:pPr>
          </w:p>
        </w:tc>
        <w:tc>
          <w:tcPr>
            <w:tcW w:w="1976" w:type="dxa"/>
            <w:tcBorders>
              <w:top w:val="single" w:sz="4" w:space="0" w:color="auto"/>
              <w:left w:val="single" w:sz="4" w:space="0" w:color="auto"/>
              <w:bottom w:val="single" w:sz="4" w:space="0" w:color="auto"/>
              <w:right w:val="single" w:sz="4" w:space="0" w:color="auto"/>
            </w:tcBorders>
            <w:vAlign w:val="center"/>
          </w:tcPr>
          <w:p w:rsidR="004106D1" w:rsidRDefault="0022483A" w:rsidP="00DA7245">
            <w:pPr>
              <w:adjustRightInd w:val="0"/>
              <w:snapToGrid w:val="0"/>
              <w:spacing w:line="360" w:lineRule="auto"/>
              <w:jc w:val="center"/>
              <w:rPr>
                <w:rFonts w:eastAsia="仿宋_GB2312"/>
                <w:snapToGrid w:val="0"/>
                <w:sz w:val="24"/>
                <w:szCs w:val="24"/>
              </w:rPr>
            </w:pPr>
            <w:r>
              <w:rPr>
                <w:rFonts w:eastAsia="仿宋_GB2312" w:hint="eastAsia"/>
                <w:snapToGrid w:val="0"/>
                <w:sz w:val="24"/>
                <w:szCs w:val="24"/>
              </w:rPr>
              <w:t>通识教育课</w:t>
            </w:r>
          </w:p>
        </w:tc>
        <w:tc>
          <w:tcPr>
            <w:tcW w:w="1975" w:type="dxa"/>
            <w:tcBorders>
              <w:top w:val="single" w:sz="4" w:space="0" w:color="auto"/>
              <w:left w:val="single" w:sz="4" w:space="0" w:color="auto"/>
              <w:bottom w:val="single" w:sz="4" w:space="0" w:color="auto"/>
              <w:right w:val="single" w:sz="4" w:space="0" w:color="auto"/>
            </w:tcBorders>
            <w:vAlign w:val="center"/>
          </w:tcPr>
          <w:p w:rsidR="004106D1" w:rsidRDefault="0022483A" w:rsidP="00DA7245">
            <w:pPr>
              <w:adjustRightInd w:val="0"/>
              <w:snapToGrid w:val="0"/>
              <w:spacing w:line="360" w:lineRule="auto"/>
              <w:jc w:val="center"/>
              <w:rPr>
                <w:rFonts w:ascii="Times New Roman" w:eastAsia="仿宋_GB2312" w:hAnsi="Times New Roman" w:cs="Times New Roman"/>
                <w:snapToGrid w:val="0"/>
                <w:sz w:val="24"/>
                <w:szCs w:val="24"/>
              </w:rPr>
            </w:pPr>
            <w:r>
              <w:rPr>
                <w:rFonts w:ascii="Times New Roman" w:eastAsia="仿宋_GB2312" w:hAnsi="Times New Roman" w:cs="Times New Roman"/>
                <w:snapToGrid w:val="0"/>
                <w:sz w:val="24"/>
                <w:szCs w:val="24"/>
              </w:rPr>
              <w:t>8</w:t>
            </w:r>
          </w:p>
        </w:tc>
        <w:tc>
          <w:tcPr>
            <w:tcW w:w="0" w:type="auto"/>
            <w:vMerge/>
            <w:tcBorders>
              <w:top w:val="single" w:sz="4" w:space="0" w:color="auto"/>
              <w:left w:val="single" w:sz="4" w:space="0" w:color="auto"/>
              <w:bottom w:val="single" w:sz="4" w:space="0" w:color="auto"/>
              <w:right w:val="single" w:sz="4" w:space="0" w:color="auto"/>
            </w:tcBorders>
            <w:vAlign w:val="center"/>
          </w:tcPr>
          <w:p w:rsidR="004106D1" w:rsidRDefault="004106D1" w:rsidP="00DA7245">
            <w:pPr>
              <w:widowControl/>
              <w:spacing w:line="360" w:lineRule="auto"/>
              <w:jc w:val="left"/>
              <w:rPr>
                <w:rFonts w:ascii="Times New Roman" w:eastAsia="仿宋_GB2312" w:hAnsi="Times New Roman" w:cs="Times New Roman"/>
                <w:snapToGrid w:val="0"/>
                <w:sz w:val="24"/>
                <w:szCs w:val="24"/>
              </w:rPr>
            </w:pPr>
          </w:p>
        </w:tc>
        <w:tc>
          <w:tcPr>
            <w:tcW w:w="1416" w:type="dxa"/>
            <w:tcBorders>
              <w:top w:val="single" w:sz="4" w:space="0" w:color="auto"/>
              <w:left w:val="single" w:sz="4" w:space="0" w:color="auto"/>
              <w:bottom w:val="single" w:sz="4" w:space="0" w:color="auto"/>
              <w:right w:val="single" w:sz="4" w:space="0" w:color="auto"/>
            </w:tcBorders>
            <w:vAlign w:val="center"/>
          </w:tcPr>
          <w:p w:rsidR="004106D1" w:rsidRDefault="0022483A" w:rsidP="00DA7245">
            <w:pPr>
              <w:adjustRightInd w:val="0"/>
              <w:snapToGrid w:val="0"/>
              <w:spacing w:line="360" w:lineRule="auto"/>
              <w:jc w:val="center"/>
              <w:rPr>
                <w:rFonts w:eastAsia="仿宋_GB2312"/>
                <w:snapToGrid w:val="0"/>
                <w:sz w:val="24"/>
                <w:szCs w:val="24"/>
              </w:rPr>
            </w:pPr>
            <w:r>
              <w:rPr>
                <w:rFonts w:eastAsia="仿宋_GB2312" w:hint="eastAsia"/>
                <w:snapToGrid w:val="0"/>
                <w:sz w:val="24"/>
                <w:szCs w:val="24"/>
              </w:rPr>
              <w:t>公选</w:t>
            </w:r>
          </w:p>
        </w:tc>
      </w:tr>
      <w:tr w:rsidR="004106D1">
        <w:trPr>
          <w:jc w:val="center"/>
        </w:trPr>
        <w:tc>
          <w:tcPr>
            <w:tcW w:w="1214" w:type="dxa"/>
            <w:vMerge w:val="restart"/>
            <w:tcBorders>
              <w:top w:val="single" w:sz="4" w:space="0" w:color="auto"/>
              <w:left w:val="single" w:sz="4" w:space="0" w:color="auto"/>
              <w:bottom w:val="single" w:sz="4" w:space="0" w:color="auto"/>
              <w:right w:val="single" w:sz="4" w:space="0" w:color="auto"/>
            </w:tcBorders>
            <w:vAlign w:val="center"/>
          </w:tcPr>
          <w:p w:rsidR="004106D1" w:rsidRDefault="0022483A" w:rsidP="00DA7245">
            <w:pPr>
              <w:adjustRightInd w:val="0"/>
              <w:snapToGrid w:val="0"/>
              <w:spacing w:line="360" w:lineRule="auto"/>
              <w:jc w:val="center"/>
              <w:rPr>
                <w:rFonts w:eastAsia="仿宋_GB2312"/>
                <w:b/>
                <w:snapToGrid w:val="0"/>
                <w:sz w:val="24"/>
                <w:szCs w:val="24"/>
              </w:rPr>
            </w:pPr>
            <w:r>
              <w:rPr>
                <w:rFonts w:eastAsia="仿宋_GB2312" w:hint="eastAsia"/>
                <w:b/>
                <w:snapToGrid w:val="0"/>
                <w:sz w:val="24"/>
                <w:szCs w:val="24"/>
              </w:rPr>
              <w:t>专业基础课</w:t>
            </w:r>
          </w:p>
        </w:tc>
        <w:tc>
          <w:tcPr>
            <w:tcW w:w="1976" w:type="dxa"/>
            <w:tcBorders>
              <w:top w:val="single" w:sz="4" w:space="0" w:color="auto"/>
              <w:left w:val="single" w:sz="4" w:space="0" w:color="auto"/>
              <w:bottom w:val="single" w:sz="4" w:space="0" w:color="auto"/>
              <w:right w:val="single" w:sz="4" w:space="0" w:color="auto"/>
            </w:tcBorders>
            <w:vAlign w:val="center"/>
          </w:tcPr>
          <w:p w:rsidR="004106D1" w:rsidRDefault="0022483A" w:rsidP="00DA7245">
            <w:pPr>
              <w:adjustRightInd w:val="0"/>
              <w:snapToGrid w:val="0"/>
              <w:spacing w:line="360" w:lineRule="auto"/>
              <w:jc w:val="center"/>
              <w:rPr>
                <w:rFonts w:eastAsia="仿宋_GB2312"/>
                <w:snapToGrid w:val="0"/>
                <w:sz w:val="24"/>
                <w:szCs w:val="24"/>
              </w:rPr>
            </w:pPr>
            <w:r>
              <w:rPr>
                <w:rFonts w:eastAsia="仿宋_GB2312" w:hint="eastAsia"/>
                <w:snapToGrid w:val="0"/>
                <w:sz w:val="24"/>
                <w:szCs w:val="24"/>
              </w:rPr>
              <w:t>大类基础课</w:t>
            </w:r>
          </w:p>
        </w:tc>
        <w:tc>
          <w:tcPr>
            <w:tcW w:w="1975" w:type="dxa"/>
            <w:tcBorders>
              <w:top w:val="single" w:sz="4" w:space="0" w:color="auto"/>
              <w:left w:val="single" w:sz="4" w:space="0" w:color="auto"/>
              <w:bottom w:val="single" w:sz="4" w:space="0" w:color="auto"/>
              <w:right w:val="single" w:sz="4" w:space="0" w:color="auto"/>
            </w:tcBorders>
            <w:vAlign w:val="center"/>
          </w:tcPr>
          <w:p w:rsidR="004106D1" w:rsidRDefault="0022483A" w:rsidP="00DA7245">
            <w:pPr>
              <w:adjustRightInd w:val="0"/>
              <w:snapToGrid w:val="0"/>
              <w:spacing w:line="360" w:lineRule="auto"/>
              <w:jc w:val="center"/>
              <w:rPr>
                <w:rFonts w:ascii="Times New Roman" w:eastAsia="仿宋_GB2312" w:hAnsi="Times New Roman" w:cs="Times New Roman"/>
                <w:snapToGrid w:val="0"/>
                <w:sz w:val="24"/>
                <w:szCs w:val="24"/>
              </w:rPr>
            </w:pPr>
            <w:r>
              <w:rPr>
                <w:rFonts w:ascii="Times New Roman" w:eastAsia="仿宋_GB2312" w:hAnsi="Times New Roman" w:cs="Times New Roman"/>
                <w:snapToGrid w:val="0"/>
                <w:sz w:val="24"/>
                <w:szCs w:val="24"/>
              </w:rPr>
              <w:t>51</w:t>
            </w:r>
          </w:p>
        </w:tc>
        <w:tc>
          <w:tcPr>
            <w:tcW w:w="1924" w:type="dxa"/>
            <w:vMerge w:val="restart"/>
            <w:tcBorders>
              <w:top w:val="single" w:sz="4" w:space="0" w:color="auto"/>
              <w:left w:val="single" w:sz="4" w:space="0" w:color="auto"/>
              <w:bottom w:val="single" w:sz="4" w:space="0" w:color="auto"/>
              <w:right w:val="single" w:sz="4" w:space="0" w:color="auto"/>
            </w:tcBorders>
            <w:vAlign w:val="center"/>
          </w:tcPr>
          <w:p w:rsidR="004106D1" w:rsidRDefault="0022483A" w:rsidP="00DA7245">
            <w:pPr>
              <w:adjustRightInd w:val="0"/>
              <w:snapToGrid w:val="0"/>
              <w:spacing w:line="360" w:lineRule="auto"/>
              <w:jc w:val="center"/>
              <w:rPr>
                <w:rFonts w:ascii="Times New Roman" w:eastAsia="仿宋_GB2312" w:hAnsi="Times New Roman" w:cs="Times New Roman"/>
                <w:snapToGrid w:val="0"/>
                <w:sz w:val="24"/>
                <w:szCs w:val="24"/>
              </w:rPr>
            </w:pPr>
            <w:r>
              <w:rPr>
                <w:rFonts w:ascii="Times New Roman" w:eastAsia="仿宋_GB2312" w:hAnsi="Times New Roman" w:cs="Times New Roman"/>
                <w:snapToGrid w:val="0"/>
                <w:sz w:val="24"/>
                <w:szCs w:val="24"/>
              </w:rPr>
              <w:t>38.2%</w:t>
            </w:r>
          </w:p>
        </w:tc>
        <w:tc>
          <w:tcPr>
            <w:tcW w:w="1416" w:type="dxa"/>
            <w:tcBorders>
              <w:top w:val="single" w:sz="4" w:space="0" w:color="auto"/>
              <w:left w:val="single" w:sz="4" w:space="0" w:color="auto"/>
              <w:bottom w:val="single" w:sz="4" w:space="0" w:color="auto"/>
              <w:right w:val="single" w:sz="4" w:space="0" w:color="auto"/>
            </w:tcBorders>
            <w:vAlign w:val="center"/>
          </w:tcPr>
          <w:p w:rsidR="004106D1" w:rsidRDefault="0022483A" w:rsidP="00DA7245">
            <w:pPr>
              <w:adjustRightInd w:val="0"/>
              <w:snapToGrid w:val="0"/>
              <w:spacing w:line="360" w:lineRule="auto"/>
              <w:jc w:val="center"/>
              <w:rPr>
                <w:rFonts w:eastAsia="仿宋_GB2312"/>
                <w:snapToGrid w:val="0"/>
                <w:sz w:val="24"/>
                <w:szCs w:val="24"/>
              </w:rPr>
            </w:pPr>
            <w:r>
              <w:rPr>
                <w:rFonts w:eastAsia="仿宋_GB2312" w:hint="eastAsia"/>
                <w:snapToGrid w:val="0"/>
                <w:sz w:val="24"/>
                <w:szCs w:val="24"/>
              </w:rPr>
              <w:t>专必</w:t>
            </w:r>
          </w:p>
        </w:tc>
      </w:tr>
      <w:tr w:rsidR="004106D1">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4106D1" w:rsidRDefault="004106D1" w:rsidP="00DA7245">
            <w:pPr>
              <w:widowControl/>
              <w:spacing w:line="360" w:lineRule="auto"/>
              <w:jc w:val="left"/>
              <w:rPr>
                <w:rFonts w:eastAsia="仿宋_GB2312"/>
                <w:b/>
                <w:snapToGrid w:val="0"/>
                <w:sz w:val="24"/>
                <w:szCs w:val="24"/>
              </w:rPr>
            </w:pPr>
          </w:p>
        </w:tc>
        <w:tc>
          <w:tcPr>
            <w:tcW w:w="1976" w:type="dxa"/>
            <w:tcBorders>
              <w:top w:val="single" w:sz="4" w:space="0" w:color="auto"/>
              <w:left w:val="single" w:sz="4" w:space="0" w:color="auto"/>
              <w:bottom w:val="single" w:sz="4" w:space="0" w:color="auto"/>
              <w:right w:val="single" w:sz="4" w:space="0" w:color="auto"/>
            </w:tcBorders>
            <w:vAlign w:val="center"/>
          </w:tcPr>
          <w:p w:rsidR="004106D1" w:rsidRDefault="0022483A" w:rsidP="00DA7245">
            <w:pPr>
              <w:adjustRightInd w:val="0"/>
              <w:snapToGrid w:val="0"/>
              <w:spacing w:line="360" w:lineRule="auto"/>
              <w:jc w:val="center"/>
              <w:rPr>
                <w:rFonts w:eastAsia="仿宋_GB2312"/>
                <w:snapToGrid w:val="0"/>
                <w:sz w:val="24"/>
                <w:szCs w:val="24"/>
              </w:rPr>
            </w:pPr>
            <w:r>
              <w:rPr>
                <w:rFonts w:eastAsia="仿宋_GB2312" w:hint="eastAsia"/>
                <w:snapToGrid w:val="0"/>
                <w:sz w:val="24"/>
                <w:szCs w:val="24"/>
              </w:rPr>
              <w:t>专业基础课</w:t>
            </w:r>
          </w:p>
        </w:tc>
        <w:tc>
          <w:tcPr>
            <w:tcW w:w="1975" w:type="dxa"/>
            <w:tcBorders>
              <w:top w:val="single" w:sz="4" w:space="0" w:color="auto"/>
              <w:left w:val="single" w:sz="4" w:space="0" w:color="auto"/>
              <w:bottom w:val="single" w:sz="4" w:space="0" w:color="auto"/>
              <w:right w:val="single" w:sz="4" w:space="0" w:color="auto"/>
            </w:tcBorders>
            <w:vAlign w:val="center"/>
          </w:tcPr>
          <w:p w:rsidR="004106D1" w:rsidRDefault="0022483A" w:rsidP="00DA7245">
            <w:pPr>
              <w:adjustRightInd w:val="0"/>
              <w:snapToGrid w:val="0"/>
              <w:spacing w:line="360" w:lineRule="auto"/>
              <w:jc w:val="center"/>
              <w:rPr>
                <w:rFonts w:ascii="Times New Roman" w:eastAsia="仿宋_GB2312" w:hAnsi="Times New Roman" w:cs="Times New Roman"/>
                <w:snapToGrid w:val="0"/>
                <w:sz w:val="24"/>
                <w:szCs w:val="24"/>
              </w:rPr>
            </w:pPr>
            <w:r>
              <w:rPr>
                <w:rFonts w:ascii="Times New Roman" w:eastAsia="仿宋_GB2312" w:hAnsi="Times New Roman" w:cs="Times New Roman"/>
                <w:snapToGrid w:val="0"/>
                <w:sz w:val="24"/>
                <w:szCs w:val="24"/>
              </w:rPr>
              <w:t>12</w:t>
            </w:r>
          </w:p>
        </w:tc>
        <w:tc>
          <w:tcPr>
            <w:tcW w:w="0" w:type="auto"/>
            <w:vMerge/>
            <w:tcBorders>
              <w:top w:val="single" w:sz="4" w:space="0" w:color="auto"/>
              <w:left w:val="single" w:sz="4" w:space="0" w:color="auto"/>
              <w:bottom w:val="single" w:sz="4" w:space="0" w:color="auto"/>
              <w:right w:val="single" w:sz="4" w:space="0" w:color="auto"/>
            </w:tcBorders>
            <w:vAlign w:val="center"/>
          </w:tcPr>
          <w:p w:rsidR="004106D1" w:rsidRDefault="004106D1" w:rsidP="00DA7245">
            <w:pPr>
              <w:widowControl/>
              <w:spacing w:line="360" w:lineRule="auto"/>
              <w:jc w:val="left"/>
              <w:rPr>
                <w:rFonts w:ascii="Times New Roman" w:eastAsia="仿宋_GB2312" w:hAnsi="Times New Roman" w:cs="Times New Roman"/>
                <w:snapToGrid w:val="0"/>
                <w:sz w:val="24"/>
                <w:szCs w:val="24"/>
              </w:rPr>
            </w:pPr>
          </w:p>
        </w:tc>
        <w:tc>
          <w:tcPr>
            <w:tcW w:w="1416" w:type="dxa"/>
            <w:tcBorders>
              <w:top w:val="single" w:sz="4" w:space="0" w:color="auto"/>
              <w:left w:val="single" w:sz="4" w:space="0" w:color="auto"/>
              <w:bottom w:val="single" w:sz="4" w:space="0" w:color="auto"/>
              <w:right w:val="single" w:sz="4" w:space="0" w:color="auto"/>
            </w:tcBorders>
            <w:vAlign w:val="center"/>
          </w:tcPr>
          <w:p w:rsidR="004106D1" w:rsidRDefault="0022483A" w:rsidP="00DA7245">
            <w:pPr>
              <w:adjustRightInd w:val="0"/>
              <w:snapToGrid w:val="0"/>
              <w:spacing w:line="360" w:lineRule="auto"/>
              <w:jc w:val="center"/>
              <w:rPr>
                <w:rFonts w:eastAsia="仿宋_GB2312"/>
                <w:snapToGrid w:val="0"/>
                <w:sz w:val="24"/>
                <w:szCs w:val="24"/>
              </w:rPr>
            </w:pPr>
            <w:r>
              <w:rPr>
                <w:rFonts w:eastAsia="仿宋_GB2312" w:hint="eastAsia"/>
                <w:snapToGrid w:val="0"/>
                <w:sz w:val="24"/>
                <w:szCs w:val="24"/>
              </w:rPr>
              <w:t>专必</w:t>
            </w:r>
          </w:p>
        </w:tc>
      </w:tr>
      <w:tr w:rsidR="004106D1">
        <w:trPr>
          <w:trHeight w:val="575"/>
          <w:jc w:val="center"/>
        </w:trPr>
        <w:tc>
          <w:tcPr>
            <w:tcW w:w="3190" w:type="dxa"/>
            <w:gridSpan w:val="2"/>
            <w:tcBorders>
              <w:top w:val="single" w:sz="4" w:space="0" w:color="auto"/>
              <w:left w:val="single" w:sz="4" w:space="0" w:color="auto"/>
              <w:bottom w:val="single" w:sz="4" w:space="0" w:color="auto"/>
              <w:right w:val="single" w:sz="4" w:space="0" w:color="auto"/>
            </w:tcBorders>
            <w:vAlign w:val="center"/>
          </w:tcPr>
          <w:p w:rsidR="004106D1" w:rsidRDefault="0022483A" w:rsidP="00DA7245">
            <w:pPr>
              <w:adjustRightInd w:val="0"/>
              <w:snapToGrid w:val="0"/>
              <w:spacing w:line="360" w:lineRule="auto"/>
              <w:jc w:val="center"/>
              <w:rPr>
                <w:rFonts w:eastAsia="仿宋_GB2312"/>
                <w:b/>
                <w:snapToGrid w:val="0"/>
                <w:sz w:val="24"/>
                <w:szCs w:val="24"/>
              </w:rPr>
            </w:pPr>
            <w:r>
              <w:rPr>
                <w:rFonts w:eastAsia="仿宋_GB2312" w:hint="eastAsia"/>
                <w:b/>
                <w:snapToGrid w:val="0"/>
                <w:sz w:val="24"/>
                <w:szCs w:val="24"/>
              </w:rPr>
              <w:t>专业核心课</w:t>
            </w:r>
          </w:p>
        </w:tc>
        <w:tc>
          <w:tcPr>
            <w:tcW w:w="1975" w:type="dxa"/>
            <w:tcBorders>
              <w:top w:val="single" w:sz="4" w:space="0" w:color="auto"/>
              <w:left w:val="single" w:sz="4" w:space="0" w:color="auto"/>
              <w:bottom w:val="single" w:sz="4" w:space="0" w:color="auto"/>
              <w:right w:val="single" w:sz="4" w:space="0" w:color="auto"/>
            </w:tcBorders>
            <w:vAlign w:val="center"/>
          </w:tcPr>
          <w:p w:rsidR="004106D1" w:rsidRDefault="0022483A" w:rsidP="00DA7245">
            <w:pPr>
              <w:adjustRightInd w:val="0"/>
              <w:snapToGrid w:val="0"/>
              <w:spacing w:line="360" w:lineRule="auto"/>
              <w:jc w:val="center"/>
              <w:rPr>
                <w:rFonts w:ascii="Times New Roman" w:eastAsia="仿宋_GB2312" w:hAnsi="Times New Roman" w:cs="Times New Roman"/>
                <w:snapToGrid w:val="0"/>
                <w:sz w:val="24"/>
                <w:szCs w:val="24"/>
              </w:rPr>
            </w:pPr>
            <w:r>
              <w:rPr>
                <w:rFonts w:ascii="Times New Roman" w:eastAsia="仿宋_GB2312" w:hAnsi="Times New Roman" w:cs="Times New Roman"/>
                <w:snapToGrid w:val="0"/>
                <w:sz w:val="24"/>
                <w:szCs w:val="24"/>
              </w:rPr>
              <w:t>20</w:t>
            </w:r>
          </w:p>
        </w:tc>
        <w:tc>
          <w:tcPr>
            <w:tcW w:w="1924" w:type="dxa"/>
            <w:tcBorders>
              <w:top w:val="single" w:sz="4" w:space="0" w:color="auto"/>
              <w:left w:val="single" w:sz="4" w:space="0" w:color="auto"/>
              <w:bottom w:val="single" w:sz="4" w:space="0" w:color="auto"/>
              <w:right w:val="single" w:sz="4" w:space="0" w:color="auto"/>
            </w:tcBorders>
            <w:vAlign w:val="center"/>
          </w:tcPr>
          <w:p w:rsidR="004106D1" w:rsidRDefault="0022483A" w:rsidP="00DA7245">
            <w:pPr>
              <w:adjustRightInd w:val="0"/>
              <w:snapToGrid w:val="0"/>
              <w:spacing w:line="360" w:lineRule="auto"/>
              <w:jc w:val="center"/>
              <w:rPr>
                <w:rFonts w:ascii="Times New Roman" w:eastAsia="仿宋_GB2312" w:hAnsi="Times New Roman" w:cs="Times New Roman"/>
                <w:snapToGrid w:val="0"/>
                <w:sz w:val="24"/>
                <w:szCs w:val="24"/>
              </w:rPr>
            </w:pPr>
            <w:r>
              <w:rPr>
                <w:rFonts w:ascii="Times New Roman" w:eastAsia="仿宋_GB2312" w:hAnsi="Times New Roman" w:cs="Times New Roman"/>
                <w:snapToGrid w:val="0"/>
                <w:sz w:val="24"/>
                <w:szCs w:val="24"/>
              </w:rPr>
              <w:t>12.1%</w:t>
            </w:r>
          </w:p>
        </w:tc>
        <w:tc>
          <w:tcPr>
            <w:tcW w:w="1416" w:type="dxa"/>
            <w:tcBorders>
              <w:top w:val="single" w:sz="4" w:space="0" w:color="auto"/>
              <w:left w:val="single" w:sz="4" w:space="0" w:color="auto"/>
              <w:bottom w:val="single" w:sz="4" w:space="0" w:color="auto"/>
              <w:right w:val="single" w:sz="4" w:space="0" w:color="auto"/>
            </w:tcBorders>
            <w:vAlign w:val="center"/>
          </w:tcPr>
          <w:p w:rsidR="004106D1" w:rsidRDefault="0022483A" w:rsidP="00DA7245">
            <w:pPr>
              <w:adjustRightInd w:val="0"/>
              <w:snapToGrid w:val="0"/>
              <w:spacing w:line="360" w:lineRule="auto"/>
              <w:jc w:val="center"/>
              <w:rPr>
                <w:rFonts w:eastAsia="仿宋_GB2312"/>
                <w:snapToGrid w:val="0"/>
                <w:sz w:val="24"/>
                <w:szCs w:val="24"/>
              </w:rPr>
            </w:pPr>
            <w:r>
              <w:rPr>
                <w:rFonts w:eastAsia="仿宋_GB2312" w:hint="eastAsia"/>
                <w:snapToGrid w:val="0"/>
                <w:sz w:val="24"/>
                <w:szCs w:val="24"/>
              </w:rPr>
              <w:t>专必</w:t>
            </w:r>
          </w:p>
        </w:tc>
      </w:tr>
      <w:tr w:rsidR="004106D1">
        <w:trPr>
          <w:jc w:val="center"/>
        </w:trPr>
        <w:tc>
          <w:tcPr>
            <w:tcW w:w="1214" w:type="dxa"/>
            <w:vMerge w:val="restart"/>
            <w:tcBorders>
              <w:top w:val="single" w:sz="4" w:space="0" w:color="auto"/>
              <w:left w:val="single" w:sz="4" w:space="0" w:color="auto"/>
              <w:bottom w:val="single" w:sz="4" w:space="0" w:color="auto"/>
              <w:right w:val="single" w:sz="4" w:space="0" w:color="auto"/>
            </w:tcBorders>
            <w:vAlign w:val="center"/>
          </w:tcPr>
          <w:p w:rsidR="004106D1" w:rsidRDefault="0022483A" w:rsidP="00DA7245">
            <w:pPr>
              <w:adjustRightInd w:val="0"/>
              <w:snapToGrid w:val="0"/>
              <w:spacing w:line="360" w:lineRule="auto"/>
              <w:jc w:val="center"/>
              <w:rPr>
                <w:rFonts w:eastAsia="仿宋_GB2312"/>
                <w:b/>
                <w:snapToGrid w:val="0"/>
                <w:sz w:val="24"/>
                <w:szCs w:val="24"/>
              </w:rPr>
            </w:pPr>
            <w:r>
              <w:rPr>
                <w:rFonts w:eastAsia="仿宋_GB2312" w:hint="eastAsia"/>
                <w:b/>
                <w:snapToGrid w:val="0"/>
                <w:sz w:val="24"/>
                <w:szCs w:val="24"/>
              </w:rPr>
              <w:t>专业提升课</w:t>
            </w:r>
          </w:p>
        </w:tc>
        <w:tc>
          <w:tcPr>
            <w:tcW w:w="1976" w:type="dxa"/>
            <w:tcBorders>
              <w:top w:val="single" w:sz="4" w:space="0" w:color="auto"/>
              <w:left w:val="single" w:sz="4" w:space="0" w:color="auto"/>
              <w:bottom w:val="single" w:sz="4" w:space="0" w:color="auto"/>
              <w:right w:val="single" w:sz="4" w:space="0" w:color="auto"/>
            </w:tcBorders>
            <w:vAlign w:val="center"/>
          </w:tcPr>
          <w:p w:rsidR="004106D1" w:rsidRDefault="0022483A" w:rsidP="00DA7245">
            <w:pPr>
              <w:adjustRightInd w:val="0"/>
              <w:snapToGrid w:val="0"/>
              <w:spacing w:line="360" w:lineRule="auto"/>
              <w:jc w:val="center"/>
              <w:rPr>
                <w:rFonts w:eastAsia="仿宋_GB2312"/>
                <w:snapToGrid w:val="0"/>
                <w:sz w:val="24"/>
                <w:szCs w:val="24"/>
              </w:rPr>
            </w:pPr>
            <w:r>
              <w:rPr>
                <w:rFonts w:eastAsia="仿宋_GB2312" w:hint="eastAsia"/>
                <w:snapToGrid w:val="0"/>
                <w:sz w:val="24"/>
                <w:szCs w:val="24"/>
              </w:rPr>
              <w:t>专业实践课</w:t>
            </w:r>
          </w:p>
        </w:tc>
        <w:tc>
          <w:tcPr>
            <w:tcW w:w="1975" w:type="dxa"/>
            <w:tcBorders>
              <w:top w:val="single" w:sz="4" w:space="0" w:color="auto"/>
              <w:left w:val="single" w:sz="4" w:space="0" w:color="auto"/>
              <w:bottom w:val="single" w:sz="4" w:space="0" w:color="auto"/>
              <w:right w:val="single" w:sz="4" w:space="0" w:color="auto"/>
            </w:tcBorders>
            <w:vAlign w:val="center"/>
          </w:tcPr>
          <w:p w:rsidR="004106D1" w:rsidRDefault="0022483A" w:rsidP="00DA7245">
            <w:pPr>
              <w:adjustRightInd w:val="0"/>
              <w:snapToGrid w:val="0"/>
              <w:spacing w:line="360" w:lineRule="auto"/>
              <w:jc w:val="center"/>
              <w:rPr>
                <w:rFonts w:ascii="Times New Roman" w:eastAsia="仿宋_GB2312" w:hAnsi="Times New Roman" w:cs="Times New Roman"/>
                <w:snapToGrid w:val="0"/>
                <w:sz w:val="24"/>
                <w:szCs w:val="24"/>
              </w:rPr>
            </w:pPr>
            <w:r>
              <w:rPr>
                <w:rFonts w:ascii="Times New Roman" w:eastAsia="仿宋_GB2312" w:hAnsi="Times New Roman" w:cs="Times New Roman"/>
                <w:snapToGrid w:val="0"/>
                <w:sz w:val="24"/>
                <w:szCs w:val="24"/>
              </w:rPr>
              <w:t>12</w:t>
            </w:r>
          </w:p>
        </w:tc>
        <w:tc>
          <w:tcPr>
            <w:tcW w:w="1924" w:type="dxa"/>
            <w:vMerge w:val="restart"/>
            <w:tcBorders>
              <w:top w:val="single" w:sz="4" w:space="0" w:color="auto"/>
              <w:left w:val="single" w:sz="4" w:space="0" w:color="auto"/>
              <w:bottom w:val="single" w:sz="4" w:space="0" w:color="auto"/>
              <w:right w:val="single" w:sz="4" w:space="0" w:color="auto"/>
            </w:tcBorders>
            <w:vAlign w:val="center"/>
          </w:tcPr>
          <w:p w:rsidR="004106D1" w:rsidRDefault="0022483A" w:rsidP="00DA7245">
            <w:pPr>
              <w:adjustRightInd w:val="0"/>
              <w:snapToGrid w:val="0"/>
              <w:spacing w:line="360" w:lineRule="auto"/>
              <w:jc w:val="center"/>
              <w:rPr>
                <w:rFonts w:ascii="Times New Roman" w:eastAsia="仿宋_GB2312" w:hAnsi="Times New Roman" w:cs="Times New Roman"/>
                <w:snapToGrid w:val="0"/>
                <w:sz w:val="24"/>
                <w:szCs w:val="24"/>
              </w:rPr>
            </w:pPr>
            <w:r>
              <w:rPr>
                <w:rFonts w:ascii="Times New Roman" w:eastAsia="仿宋_GB2312" w:hAnsi="Times New Roman" w:cs="Times New Roman"/>
                <w:snapToGrid w:val="0"/>
                <w:sz w:val="24"/>
                <w:szCs w:val="24"/>
              </w:rPr>
              <w:t>22.4%</w:t>
            </w:r>
          </w:p>
        </w:tc>
        <w:tc>
          <w:tcPr>
            <w:tcW w:w="1416" w:type="dxa"/>
            <w:tcBorders>
              <w:top w:val="single" w:sz="4" w:space="0" w:color="auto"/>
              <w:left w:val="single" w:sz="4" w:space="0" w:color="auto"/>
              <w:bottom w:val="single" w:sz="4" w:space="0" w:color="auto"/>
              <w:right w:val="single" w:sz="4" w:space="0" w:color="auto"/>
            </w:tcBorders>
            <w:vAlign w:val="center"/>
          </w:tcPr>
          <w:p w:rsidR="004106D1" w:rsidRDefault="0022483A" w:rsidP="00DA7245">
            <w:pPr>
              <w:adjustRightInd w:val="0"/>
              <w:snapToGrid w:val="0"/>
              <w:spacing w:line="360" w:lineRule="auto"/>
              <w:jc w:val="center"/>
              <w:rPr>
                <w:rFonts w:eastAsia="仿宋_GB2312"/>
                <w:snapToGrid w:val="0"/>
                <w:sz w:val="24"/>
                <w:szCs w:val="24"/>
              </w:rPr>
            </w:pPr>
            <w:r>
              <w:rPr>
                <w:rFonts w:eastAsia="仿宋_GB2312" w:hint="eastAsia"/>
                <w:snapToGrid w:val="0"/>
                <w:sz w:val="24"/>
                <w:szCs w:val="24"/>
              </w:rPr>
              <w:t>专必</w:t>
            </w:r>
          </w:p>
        </w:tc>
      </w:tr>
      <w:tr w:rsidR="004106D1">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4106D1" w:rsidRDefault="004106D1" w:rsidP="00DA7245">
            <w:pPr>
              <w:widowControl/>
              <w:spacing w:line="360" w:lineRule="auto"/>
              <w:jc w:val="left"/>
              <w:rPr>
                <w:rFonts w:eastAsia="仿宋_GB2312"/>
                <w:b/>
                <w:snapToGrid w:val="0"/>
                <w:sz w:val="24"/>
                <w:szCs w:val="24"/>
              </w:rPr>
            </w:pPr>
          </w:p>
        </w:tc>
        <w:tc>
          <w:tcPr>
            <w:tcW w:w="1976" w:type="dxa"/>
            <w:tcBorders>
              <w:top w:val="single" w:sz="4" w:space="0" w:color="auto"/>
              <w:left w:val="single" w:sz="4" w:space="0" w:color="auto"/>
              <w:bottom w:val="single" w:sz="4" w:space="0" w:color="auto"/>
              <w:right w:val="single" w:sz="4" w:space="0" w:color="auto"/>
            </w:tcBorders>
            <w:vAlign w:val="center"/>
          </w:tcPr>
          <w:p w:rsidR="004106D1" w:rsidRDefault="0022483A" w:rsidP="00DA7245">
            <w:pPr>
              <w:adjustRightInd w:val="0"/>
              <w:snapToGrid w:val="0"/>
              <w:spacing w:line="360" w:lineRule="auto"/>
              <w:jc w:val="center"/>
              <w:rPr>
                <w:rFonts w:eastAsia="仿宋_GB2312"/>
                <w:snapToGrid w:val="0"/>
                <w:sz w:val="24"/>
                <w:szCs w:val="24"/>
              </w:rPr>
            </w:pPr>
            <w:r>
              <w:rPr>
                <w:rFonts w:eastAsia="仿宋_GB2312" w:hint="eastAsia"/>
                <w:snapToGrid w:val="0"/>
                <w:sz w:val="24"/>
                <w:szCs w:val="24"/>
              </w:rPr>
              <w:t>专业选修课</w:t>
            </w:r>
          </w:p>
        </w:tc>
        <w:tc>
          <w:tcPr>
            <w:tcW w:w="1975" w:type="dxa"/>
            <w:tcBorders>
              <w:top w:val="single" w:sz="4" w:space="0" w:color="auto"/>
              <w:left w:val="single" w:sz="4" w:space="0" w:color="auto"/>
              <w:bottom w:val="single" w:sz="4" w:space="0" w:color="auto"/>
              <w:right w:val="single" w:sz="4" w:space="0" w:color="auto"/>
            </w:tcBorders>
            <w:vAlign w:val="center"/>
          </w:tcPr>
          <w:p w:rsidR="004106D1" w:rsidRDefault="0022483A" w:rsidP="00DA7245">
            <w:pPr>
              <w:adjustRightInd w:val="0"/>
              <w:snapToGrid w:val="0"/>
              <w:spacing w:line="360" w:lineRule="auto"/>
              <w:jc w:val="center"/>
              <w:rPr>
                <w:rFonts w:eastAsia="仿宋_GB2312"/>
                <w:snapToGrid w:val="0"/>
                <w:sz w:val="24"/>
                <w:szCs w:val="24"/>
              </w:rPr>
            </w:pPr>
            <w:r>
              <w:rPr>
                <w:rFonts w:eastAsia="仿宋_GB2312"/>
                <w:snapToGrid w:val="0"/>
                <w:sz w:val="24"/>
                <w:szCs w:val="24"/>
              </w:rPr>
              <w:t>25</w:t>
            </w:r>
          </w:p>
        </w:tc>
        <w:tc>
          <w:tcPr>
            <w:tcW w:w="0" w:type="auto"/>
            <w:vMerge/>
            <w:tcBorders>
              <w:top w:val="single" w:sz="4" w:space="0" w:color="auto"/>
              <w:left w:val="single" w:sz="4" w:space="0" w:color="auto"/>
              <w:bottom w:val="single" w:sz="4" w:space="0" w:color="auto"/>
              <w:right w:val="single" w:sz="4" w:space="0" w:color="auto"/>
            </w:tcBorders>
            <w:vAlign w:val="center"/>
          </w:tcPr>
          <w:p w:rsidR="004106D1" w:rsidRDefault="004106D1" w:rsidP="00DA7245">
            <w:pPr>
              <w:widowControl/>
              <w:spacing w:line="360" w:lineRule="auto"/>
              <w:jc w:val="left"/>
              <w:rPr>
                <w:rFonts w:eastAsia="仿宋_GB2312"/>
                <w:snapToGrid w:val="0"/>
                <w:sz w:val="24"/>
                <w:szCs w:val="24"/>
              </w:rPr>
            </w:pPr>
          </w:p>
        </w:tc>
        <w:tc>
          <w:tcPr>
            <w:tcW w:w="1416" w:type="dxa"/>
            <w:tcBorders>
              <w:top w:val="single" w:sz="4" w:space="0" w:color="auto"/>
              <w:left w:val="single" w:sz="4" w:space="0" w:color="auto"/>
              <w:bottom w:val="single" w:sz="4" w:space="0" w:color="auto"/>
              <w:right w:val="single" w:sz="4" w:space="0" w:color="auto"/>
            </w:tcBorders>
            <w:vAlign w:val="center"/>
          </w:tcPr>
          <w:p w:rsidR="004106D1" w:rsidRDefault="0022483A" w:rsidP="00DA7245">
            <w:pPr>
              <w:adjustRightInd w:val="0"/>
              <w:snapToGrid w:val="0"/>
              <w:spacing w:line="360" w:lineRule="auto"/>
              <w:jc w:val="center"/>
              <w:rPr>
                <w:rFonts w:eastAsia="仿宋_GB2312"/>
                <w:snapToGrid w:val="0"/>
                <w:sz w:val="24"/>
                <w:szCs w:val="24"/>
              </w:rPr>
            </w:pPr>
            <w:r>
              <w:rPr>
                <w:rFonts w:eastAsia="仿宋_GB2312" w:hint="eastAsia"/>
                <w:snapToGrid w:val="0"/>
                <w:sz w:val="24"/>
                <w:szCs w:val="24"/>
              </w:rPr>
              <w:t>专选</w:t>
            </w:r>
          </w:p>
        </w:tc>
      </w:tr>
      <w:tr w:rsidR="004106D1">
        <w:trPr>
          <w:jc w:val="center"/>
        </w:trPr>
        <w:tc>
          <w:tcPr>
            <w:tcW w:w="3190" w:type="dxa"/>
            <w:gridSpan w:val="2"/>
            <w:tcBorders>
              <w:top w:val="single" w:sz="4" w:space="0" w:color="auto"/>
              <w:left w:val="single" w:sz="4" w:space="0" w:color="auto"/>
              <w:bottom w:val="single" w:sz="4" w:space="0" w:color="auto"/>
              <w:right w:val="single" w:sz="4" w:space="0" w:color="auto"/>
            </w:tcBorders>
            <w:vAlign w:val="center"/>
          </w:tcPr>
          <w:p w:rsidR="004106D1" w:rsidRDefault="0022483A" w:rsidP="00DA7245">
            <w:pPr>
              <w:adjustRightInd w:val="0"/>
              <w:snapToGrid w:val="0"/>
              <w:spacing w:line="360" w:lineRule="auto"/>
              <w:jc w:val="center"/>
              <w:rPr>
                <w:rFonts w:eastAsia="仿宋_GB2312"/>
                <w:snapToGrid w:val="0"/>
                <w:sz w:val="24"/>
                <w:szCs w:val="24"/>
              </w:rPr>
            </w:pPr>
            <w:r>
              <w:rPr>
                <w:rFonts w:eastAsia="仿宋_GB2312" w:hint="eastAsia"/>
                <w:snapToGrid w:val="0"/>
                <w:sz w:val="24"/>
                <w:szCs w:val="24"/>
              </w:rPr>
              <w:t>总学分（实践教学学分）</w:t>
            </w:r>
          </w:p>
        </w:tc>
        <w:tc>
          <w:tcPr>
            <w:tcW w:w="5315" w:type="dxa"/>
            <w:gridSpan w:val="3"/>
            <w:tcBorders>
              <w:top w:val="single" w:sz="4" w:space="0" w:color="auto"/>
              <w:left w:val="single" w:sz="4" w:space="0" w:color="auto"/>
              <w:bottom w:val="single" w:sz="4" w:space="0" w:color="auto"/>
              <w:right w:val="single" w:sz="4" w:space="0" w:color="auto"/>
            </w:tcBorders>
            <w:vAlign w:val="center"/>
          </w:tcPr>
          <w:p w:rsidR="004106D1" w:rsidRDefault="0022483A" w:rsidP="00DA7245">
            <w:pPr>
              <w:adjustRightInd w:val="0"/>
              <w:snapToGrid w:val="0"/>
              <w:spacing w:line="360" w:lineRule="auto"/>
              <w:jc w:val="center"/>
              <w:rPr>
                <w:rFonts w:ascii="Times New Roman" w:eastAsia="仿宋_GB2312" w:hAnsi="Times New Roman" w:cs="Times New Roman"/>
                <w:snapToGrid w:val="0"/>
                <w:sz w:val="24"/>
                <w:szCs w:val="24"/>
              </w:rPr>
            </w:pPr>
            <w:r>
              <w:rPr>
                <w:rFonts w:ascii="Times New Roman" w:eastAsia="仿宋_GB2312" w:hAnsi="Times New Roman" w:cs="Times New Roman"/>
                <w:snapToGrid w:val="0"/>
                <w:sz w:val="24"/>
                <w:szCs w:val="24"/>
              </w:rPr>
              <w:t>165</w:t>
            </w:r>
            <w:r>
              <w:rPr>
                <w:rFonts w:ascii="Times New Roman" w:eastAsia="仿宋_GB2312" w:hAnsi="Times New Roman" w:cs="Times New Roman"/>
                <w:snapToGrid w:val="0"/>
                <w:sz w:val="24"/>
                <w:szCs w:val="24"/>
              </w:rPr>
              <w:t>（</w:t>
            </w:r>
            <w:r>
              <w:rPr>
                <w:rFonts w:ascii="Times New Roman" w:eastAsia="仿宋_GB2312" w:hAnsi="Times New Roman" w:cs="Times New Roman"/>
                <w:snapToGrid w:val="0"/>
                <w:sz w:val="24"/>
                <w:szCs w:val="24"/>
              </w:rPr>
              <w:t>25</w:t>
            </w:r>
            <w:r>
              <w:rPr>
                <w:rFonts w:ascii="Times New Roman" w:eastAsia="仿宋_GB2312" w:hAnsi="Times New Roman" w:cs="Times New Roman"/>
                <w:snapToGrid w:val="0"/>
                <w:sz w:val="24"/>
                <w:szCs w:val="24"/>
              </w:rPr>
              <w:t>）</w:t>
            </w:r>
          </w:p>
        </w:tc>
      </w:tr>
      <w:tr w:rsidR="004106D1">
        <w:trPr>
          <w:jc w:val="center"/>
        </w:trPr>
        <w:tc>
          <w:tcPr>
            <w:tcW w:w="3190" w:type="dxa"/>
            <w:gridSpan w:val="2"/>
            <w:tcBorders>
              <w:top w:val="single" w:sz="4" w:space="0" w:color="auto"/>
              <w:left w:val="single" w:sz="4" w:space="0" w:color="auto"/>
              <w:bottom w:val="single" w:sz="4" w:space="0" w:color="auto"/>
              <w:right w:val="single" w:sz="4" w:space="0" w:color="auto"/>
            </w:tcBorders>
            <w:vAlign w:val="center"/>
          </w:tcPr>
          <w:p w:rsidR="004106D1" w:rsidRDefault="0022483A" w:rsidP="00DA7245">
            <w:pPr>
              <w:adjustRightInd w:val="0"/>
              <w:snapToGrid w:val="0"/>
              <w:spacing w:line="360" w:lineRule="auto"/>
              <w:jc w:val="center"/>
              <w:rPr>
                <w:rFonts w:eastAsia="仿宋_GB2312"/>
                <w:snapToGrid w:val="0"/>
                <w:sz w:val="24"/>
                <w:szCs w:val="24"/>
              </w:rPr>
            </w:pPr>
            <w:r>
              <w:rPr>
                <w:rFonts w:eastAsia="仿宋_GB2312" w:hint="eastAsia"/>
                <w:snapToGrid w:val="0"/>
                <w:sz w:val="24"/>
                <w:szCs w:val="24"/>
              </w:rPr>
              <w:t>总学时（实践教学学时）</w:t>
            </w:r>
          </w:p>
        </w:tc>
        <w:tc>
          <w:tcPr>
            <w:tcW w:w="5315" w:type="dxa"/>
            <w:gridSpan w:val="3"/>
            <w:tcBorders>
              <w:top w:val="single" w:sz="4" w:space="0" w:color="auto"/>
              <w:left w:val="single" w:sz="4" w:space="0" w:color="auto"/>
              <w:bottom w:val="single" w:sz="4" w:space="0" w:color="auto"/>
              <w:right w:val="single" w:sz="4" w:space="0" w:color="auto"/>
            </w:tcBorders>
            <w:vAlign w:val="center"/>
          </w:tcPr>
          <w:p w:rsidR="004106D1" w:rsidRDefault="0022483A" w:rsidP="00DA7245">
            <w:pPr>
              <w:adjustRightInd w:val="0"/>
              <w:snapToGrid w:val="0"/>
              <w:spacing w:line="360" w:lineRule="auto"/>
              <w:jc w:val="center"/>
              <w:rPr>
                <w:rFonts w:ascii="Times New Roman" w:eastAsia="仿宋_GB2312" w:hAnsi="Times New Roman" w:cs="Times New Roman"/>
                <w:snapToGrid w:val="0"/>
                <w:sz w:val="24"/>
                <w:szCs w:val="24"/>
              </w:rPr>
            </w:pPr>
            <w:r>
              <w:rPr>
                <w:rFonts w:ascii="Times New Roman" w:eastAsia="仿宋_GB2312" w:hAnsi="Times New Roman" w:cs="Times New Roman"/>
                <w:snapToGrid w:val="0"/>
                <w:sz w:val="24"/>
                <w:szCs w:val="24"/>
              </w:rPr>
              <w:t>2880+16</w:t>
            </w:r>
            <w:r>
              <w:rPr>
                <w:rFonts w:ascii="Times New Roman" w:eastAsia="仿宋_GB2312" w:hAnsi="Times New Roman" w:cs="Times New Roman"/>
                <w:snapToGrid w:val="0"/>
                <w:sz w:val="24"/>
                <w:szCs w:val="24"/>
              </w:rPr>
              <w:t>周（</w:t>
            </w:r>
            <w:r>
              <w:rPr>
                <w:rFonts w:ascii="Times New Roman" w:eastAsia="仿宋_GB2312" w:hAnsi="Times New Roman" w:cs="Times New Roman"/>
                <w:snapToGrid w:val="0"/>
                <w:sz w:val="24"/>
                <w:szCs w:val="24"/>
              </w:rPr>
              <w:t>324+16</w:t>
            </w:r>
            <w:r>
              <w:rPr>
                <w:rFonts w:ascii="Times New Roman" w:eastAsia="仿宋_GB2312" w:hAnsi="Times New Roman" w:cs="Times New Roman"/>
                <w:snapToGrid w:val="0"/>
                <w:sz w:val="24"/>
                <w:szCs w:val="24"/>
              </w:rPr>
              <w:t>周）</w:t>
            </w:r>
          </w:p>
        </w:tc>
      </w:tr>
    </w:tbl>
    <w:p w:rsidR="004106D1" w:rsidRDefault="004106D1" w:rsidP="00DA7245">
      <w:pPr>
        <w:spacing w:line="360" w:lineRule="auto"/>
        <w:rPr>
          <w:rFonts w:ascii="Times New Roman" w:eastAsia="仿宋_GB2312" w:hAnsi="Times New Roman" w:cs="Times New Roman"/>
          <w:sz w:val="24"/>
          <w:szCs w:val="24"/>
        </w:rPr>
      </w:pPr>
    </w:p>
    <w:p w:rsidR="004106D1" w:rsidRDefault="0022483A" w:rsidP="00DA7245">
      <w:pPr>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第一、公共必修课和通识教育课学分占比</w:t>
      </w:r>
      <w:r>
        <w:rPr>
          <w:rFonts w:ascii="Times New Roman" w:eastAsia="仿宋_GB2312" w:hAnsi="Times New Roman" w:cs="Times New Roman"/>
          <w:sz w:val="24"/>
          <w:szCs w:val="24"/>
        </w:rPr>
        <w:t>27.3%</w:t>
      </w:r>
      <w:r>
        <w:rPr>
          <w:rFonts w:ascii="Times New Roman" w:eastAsia="仿宋_GB2312" w:hAnsi="Times New Roman" w:cs="Times New Roman" w:hint="eastAsia"/>
          <w:sz w:val="24"/>
          <w:szCs w:val="24"/>
        </w:rPr>
        <w:t>，期望培养学生的研究能力和综合素质。</w:t>
      </w:r>
      <w:r>
        <w:rPr>
          <w:rFonts w:ascii="Times New Roman" w:eastAsia="仿宋_GB2312" w:hAnsi="Times New Roman" w:cs="Times New Roman"/>
          <w:sz w:val="24"/>
          <w:szCs w:val="24"/>
        </w:rPr>
        <w:t>通过《高等数学》、《线性代数》、《概率统计》等</w:t>
      </w:r>
      <w:r>
        <w:rPr>
          <w:rFonts w:ascii="Times New Roman" w:eastAsia="仿宋_GB2312" w:hAnsi="Times New Roman" w:cs="Times New Roman" w:hint="eastAsia"/>
          <w:sz w:val="24"/>
          <w:szCs w:val="24"/>
        </w:rPr>
        <w:t>专业必修</w:t>
      </w:r>
      <w:r>
        <w:rPr>
          <w:rFonts w:ascii="Times New Roman" w:eastAsia="仿宋_GB2312" w:hAnsi="Times New Roman" w:cs="Times New Roman"/>
          <w:sz w:val="24"/>
          <w:szCs w:val="24"/>
        </w:rPr>
        <w:t>课程</w:t>
      </w:r>
      <w:r>
        <w:rPr>
          <w:rFonts w:ascii="Times New Roman" w:eastAsia="仿宋_GB2312" w:hAnsi="Times New Roman" w:cs="Times New Roman" w:hint="eastAsia"/>
          <w:sz w:val="24"/>
          <w:szCs w:val="24"/>
        </w:rPr>
        <w:t>的学习</w:t>
      </w:r>
      <w:r>
        <w:rPr>
          <w:rFonts w:ascii="Times New Roman" w:eastAsia="仿宋_GB2312" w:hAnsi="Times New Roman" w:cs="Times New Roman"/>
          <w:sz w:val="24"/>
          <w:szCs w:val="24"/>
        </w:rPr>
        <w:t>，有针对性地</w:t>
      </w:r>
      <w:r>
        <w:rPr>
          <w:rFonts w:ascii="Times New Roman" w:eastAsia="仿宋_GB2312" w:hAnsi="Times New Roman" w:cs="Times New Roman" w:hint="eastAsia"/>
          <w:sz w:val="24"/>
          <w:szCs w:val="24"/>
        </w:rPr>
        <w:t>加强对</w:t>
      </w:r>
      <w:r>
        <w:rPr>
          <w:rFonts w:ascii="Times New Roman" w:eastAsia="仿宋_GB2312" w:hAnsi="Times New Roman" w:cs="Times New Roman"/>
          <w:sz w:val="24"/>
          <w:szCs w:val="24"/>
        </w:rPr>
        <w:t>学生的数学基础训练，</w:t>
      </w:r>
      <w:r>
        <w:rPr>
          <w:rFonts w:ascii="Times New Roman" w:eastAsia="仿宋_GB2312" w:hAnsi="Times New Roman" w:cs="Times New Roman" w:hint="eastAsia"/>
          <w:sz w:val="24"/>
          <w:szCs w:val="24"/>
        </w:rPr>
        <w:t>使其</w:t>
      </w:r>
      <w:r>
        <w:rPr>
          <w:rFonts w:ascii="Times New Roman" w:eastAsia="仿宋_GB2312" w:hAnsi="Times New Roman" w:cs="Times New Roman"/>
          <w:sz w:val="24"/>
          <w:szCs w:val="24"/>
        </w:rPr>
        <w:t>掌握严谨的</w:t>
      </w:r>
      <w:r>
        <w:rPr>
          <w:rFonts w:ascii="Times New Roman" w:eastAsia="仿宋_GB2312" w:hAnsi="Times New Roman" w:cs="Times New Roman" w:hint="eastAsia"/>
          <w:sz w:val="24"/>
          <w:szCs w:val="24"/>
        </w:rPr>
        <w:t>数理</w:t>
      </w:r>
      <w:r>
        <w:rPr>
          <w:rFonts w:ascii="Times New Roman" w:eastAsia="仿宋_GB2312" w:hAnsi="Times New Roman" w:cs="Times New Roman"/>
          <w:sz w:val="24"/>
          <w:szCs w:val="24"/>
        </w:rPr>
        <w:t>分析方法，</w:t>
      </w:r>
      <w:r>
        <w:rPr>
          <w:rFonts w:ascii="Times New Roman" w:eastAsia="仿宋_GB2312" w:hAnsi="Times New Roman" w:cs="Times New Roman" w:hint="eastAsia"/>
          <w:sz w:val="24"/>
          <w:szCs w:val="24"/>
        </w:rPr>
        <w:t>有助于</w:t>
      </w:r>
      <w:r>
        <w:rPr>
          <w:rFonts w:ascii="Times New Roman" w:eastAsia="仿宋_GB2312" w:hAnsi="Times New Roman" w:cs="Times New Roman"/>
          <w:sz w:val="24"/>
          <w:szCs w:val="24"/>
        </w:rPr>
        <w:t>本科生</w:t>
      </w:r>
      <w:r>
        <w:rPr>
          <w:rFonts w:ascii="Times New Roman" w:eastAsia="仿宋_GB2312" w:hAnsi="Times New Roman" w:cs="Times New Roman" w:hint="eastAsia"/>
          <w:sz w:val="24"/>
          <w:szCs w:val="24"/>
        </w:rPr>
        <w:t>为</w:t>
      </w:r>
      <w:r>
        <w:rPr>
          <w:rFonts w:ascii="Times New Roman" w:eastAsia="仿宋_GB2312" w:hAnsi="Times New Roman" w:cs="Times New Roman"/>
          <w:sz w:val="24"/>
          <w:szCs w:val="24"/>
        </w:rPr>
        <w:t>后续更加深入的</w:t>
      </w:r>
      <w:r>
        <w:rPr>
          <w:rFonts w:ascii="Times New Roman" w:eastAsia="仿宋_GB2312" w:hAnsi="Times New Roman" w:cs="Times New Roman" w:hint="eastAsia"/>
          <w:sz w:val="24"/>
          <w:szCs w:val="24"/>
        </w:rPr>
        <w:t>经济学理论</w:t>
      </w:r>
      <w:r>
        <w:rPr>
          <w:rFonts w:ascii="Times New Roman" w:eastAsia="仿宋_GB2312" w:hAnsi="Times New Roman" w:cs="Times New Roman"/>
          <w:sz w:val="24"/>
          <w:szCs w:val="24"/>
        </w:rPr>
        <w:t>学习</w:t>
      </w:r>
      <w:r>
        <w:rPr>
          <w:rFonts w:ascii="Times New Roman" w:eastAsia="仿宋_GB2312" w:hAnsi="Times New Roman" w:cs="Times New Roman" w:hint="eastAsia"/>
          <w:sz w:val="24"/>
          <w:szCs w:val="24"/>
        </w:rPr>
        <w:t>奠定基础</w:t>
      </w: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通过</w:t>
      </w:r>
      <w:r>
        <w:rPr>
          <w:rFonts w:ascii="Times New Roman" w:eastAsia="仿宋_GB2312" w:hAnsi="Times New Roman" w:cs="Times New Roman"/>
          <w:sz w:val="24"/>
          <w:szCs w:val="24"/>
        </w:rPr>
        <w:t>《大学语文》、</w:t>
      </w:r>
      <w:r>
        <w:rPr>
          <w:rFonts w:ascii="Times New Roman" w:eastAsia="仿宋_GB2312" w:hAnsi="Times New Roman" w:cs="Times New Roman" w:hint="eastAsia"/>
          <w:sz w:val="24"/>
          <w:szCs w:val="24"/>
        </w:rPr>
        <w:t>《心理学》、</w:t>
      </w:r>
      <w:r>
        <w:rPr>
          <w:rFonts w:ascii="Times New Roman" w:eastAsia="仿宋_GB2312" w:hAnsi="Times New Roman" w:cs="Times New Roman"/>
          <w:sz w:val="24"/>
          <w:szCs w:val="24"/>
        </w:rPr>
        <w:t>《沟通》等课程，培养学生具有较强的学习能力、写作能力、语言表达能力、人际沟通和跨文化交流能力，扩宽了学生在学习知识方面的语言和渠道，使得学生</w:t>
      </w:r>
      <w:r>
        <w:rPr>
          <w:rFonts w:ascii="Times New Roman" w:eastAsia="仿宋_GB2312" w:hAnsi="Times New Roman" w:cs="Times New Roman" w:hint="eastAsia"/>
          <w:sz w:val="24"/>
          <w:szCs w:val="24"/>
        </w:rPr>
        <w:t>有更强的能力直接</w:t>
      </w:r>
      <w:r>
        <w:rPr>
          <w:rFonts w:ascii="Times New Roman" w:eastAsia="仿宋_GB2312" w:hAnsi="Times New Roman" w:cs="Times New Roman"/>
          <w:sz w:val="24"/>
          <w:szCs w:val="24"/>
        </w:rPr>
        <w:t>阅读和研究外国专业文献，提升学生的学习研究能力。</w:t>
      </w:r>
    </w:p>
    <w:p w:rsidR="004106D1" w:rsidRDefault="0022483A" w:rsidP="00DA7245">
      <w:pPr>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第二、大类基础课、专业基础课和专业核心课占比</w:t>
      </w:r>
      <w:r>
        <w:rPr>
          <w:rFonts w:ascii="Times New Roman" w:eastAsia="仿宋_GB2312" w:hAnsi="Times New Roman" w:cs="Times New Roman" w:hint="eastAsia"/>
          <w:sz w:val="24"/>
          <w:szCs w:val="24"/>
        </w:rPr>
        <w:t>5</w:t>
      </w:r>
      <w:r>
        <w:rPr>
          <w:rFonts w:ascii="Times New Roman" w:eastAsia="仿宋_GB2312" w:hAnsi="Times New Roman" w:cs="Times New Roman"/>
          <w:sz w:val="24"/>
          <w:szCs w:val="24"/>
        </w:rPr>
        <w:t>0.3%</w:t>
      </w:r>
      <w:r>
        <w:rPr>
          <w:rFonts w:ascii="Times New Roman" w:eastAsia="仿宋_GB2312" w:hAnsi="Times New Roman" w:cs="Times New Roman" w:hint="eastAsia"/>
          <w:sz w:val="24"/>
          <w:szCs w:val="24"/>
        </w:rPr>
        <w:t>，期望培养学生解决问题和分析问题的能力。</w:t>
      </w:r>
      <w:r>
        <w:rPr>
          <w:rFonts w:ascii="Times New Roman" w:eastAsia="仿宋_GB2312" w:hAnsi="Times New Roman" w:cs="Times New Roman"/>
          <w:sz w:val="24"/>
          <w:szCs w:val="24"/>
        </w:rPr>
        <w:t>通过</w:t>
      </w:r>
      <w:r>
        <w:rPr>
          <w:rFonts w:ascii="Times New Roman" w:eastAsia="仿宋_GB2312" w:hAnsi="Times New Roman" w:cs="Times New Roman" w:hint="eastAsia"/>
          <w:sz w:val="24"/>
          <w:szCs w:val="24"/>
        </w:rPr>
        <w:t>《政治经济学》、</w:t>
      </w:r>
      <w:r>
        <w:rPr>
          <w:rFonts w:ascii="Times New Roman" w:eastAsia="仿宋_GB2312" w:hAnsi="Times New Roman" w:cs="Times New Roman"/>
          <w:sz w:val="24"/>
          <w:szCs w:val="24"/>
        </w:rPr>
        <w:t>《微观经济学》、《宏观经济学》、</w:t>
      </w:r>
      <w:r>
        <w:rPr>
          <w:rFonts w:ascii="Times New Roman" w:eastAsia="仿宋_GB2312" w:hAnsi="Times New Roman" w:cs="Times New Roman" w:hint="eastAsia"/>
          <w:sz w:val="24"/>
          <w:szCs w:val="24"/>
        </w:rPr>
        <w:t>《中级微观经济学》、《中级宏观经济学》、</w:t>
      </w:r>
      <w:r>
        <w:rPr>
          <w:rFonts w:ascii="Times New Roman" w:eastAsia="仿宋_GB2312" w:hAnsi="Times New Roman" w:cs="Times New Roman"/>
          <w:sz w:val="24"/>
          <w:szCs w:val="24"/>
        </w:rPr>
        <w:t>《计量经济学》等课程的学习，</w:t>
      </w:r>
      <w:r>
        <w:rPr>
          <w:rFonts w:ascii="Times New Roman" w:eastAsia="仿宋_GB2312" w:hAnsi="Times New Roman" w:cs="Times New Roman" w:hint="eastAsia"/>
          <w:sz w:val="24"/>
          <w:szCs w:val="24"/>
        </w:rPr>
        <w:t>为</w:t>
      </w:r>
      <w:r>
        <w:rPr>
          <w:rFonts w:ascii="Times New Roman" w:eastAsia="仿宋_GB2312" w:hAnsi="Times New Roman" w:cs="Times New Roman"/>
          <w:sz w:val="24"/>
          <w:szCs w:val="24"/>
        </w:rPr>
        <w:t>学生打下坚实的经济学理论基础。既有助于培养学生的理论素质，又有助于加强学生对相关经济分析工具的掌握，增强学生分析问题和解决问题能力的培养。</w:t>
      </w:r>
    </w:p>
    <w:p w:rsidR="004106D1" w:rsidRDefault="0022483A" w:rsidP="00DA7245">
      <w:pPr>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第三、专业选修课学分占比</w:t>
      </w:r>
      <w:r>
        <w:rPr>
          <w:rFonts w:ascii="Times New Roman" w:eastAsia="仿宋_GB2312" w:hAnsi="Times New Roman" w:cs="Times New Roman" w:hint="eastAsia"/>
          <w:sz w:val="24"/>
          <w:szCs w:val="24"/>
        </w:rPr>
        <w:t>1</w:t>
      </w:r>
      <w:r>
        <w:rPr>
          <w:rFonts w:ascii="Times New Roman" w:eastAsia="仿宋_GB2312" w:hAnsi="Times New Roman" w:cs="Times New Roman"/>
          <w:sz w:val="24"/>
          <w:szCs w:val="24"/>
        </w:rPr>
        <w:t>5.2%</w:t>
      </w:r>
      <w:r>
        <w:rPr>
          <w:rFonts w:ascii="Times New Roman" w:eastAsia="仿宋_GB2312" w:hAnsi="Times New Roman" w:cs="Times New Roman" w:hint="eastAsia"/>
          <w:sz w:val="24"/>
          <w:szCs w:val="24"/>
        </w:rPr>
        <w:t>，期望培养学生根据自己的兴趣深入学习和自主学习的能力。</w:t>
      </w:r>
      <w:r>
        <w:rPr>
          <w:rFonts w:ascii="Times New Roman" w:eastAsia="仿宋_GB2312" w:hAnsi="Times New Roman" w:cs="Times New Roman"/>
          <w:sz w:val="24"/>
          <w:szCs w:val="24"/>
        </w:rPr>
        <w:t>提供分类更细化的专业必修课</w:t>
      </w:r>
      <w:r>
        <w:rPr>
          <w:rFonts w:ascii="Times New Roman" w:eastAsia="仿宋_GB2312" w:hAnsi="Times New Roman" w:cs="Times New Roman" w:hint="eastAsia"/>
          <w:sz w:val="24"/>
          <w:szCs w:val="24"/>
        </w:rPr>
        <w:t>，包括：《博弈论与信息经济学》、《国际经济学》、《制度经济学》、《经济思想史》</w:t>
      </w:r>
      <w:r>
        <w:rPr>
          <w:rFonts w:ascii="Times New Roman" w:eastAsia="仿宋_GB2312" w:hAnsi="Times New Roman" w:cs="Times New Roman"/>
          <w:sz w:val="24"/>
          <w:szCs w:val="24"/>
        </w:rPr>
        <w:t>等，以及</w:t>
      </w:r>
      <w:r>
        <w:rPr>
          <w:rFonts w:ascii="Times New Roman" w:eastAsia="仿宋_GB2312" w:hAnsi="Times New Roman" w:cs="Times New Roman" w:hint="eastAsia"/>
          <w:sz w:val="24"/>
          <w:szCs w:val="24"/>
        </w:rPr>
        <w:t>包括金融、管理等</w:t>
      </w:r>
      <w:r>
        <w:rPr>
          <w:rFonts w:ascii="Times New Roman" w:eastAsia="仿宋_GB2312" w:hAnsi="Times New Roman" w:cs="Times New Roman"/>
          <w:sz w:val="24"/>
          <w:szCs w:val="24"/>
        </w:rPr>
        <w:t>各类专业选修课让本专业的学生能根据自身的兴趣、特长和未来职业规划有针对性地选修某些专题进行深入学习和研究。</w:t>
      </w:r>
    </w:p>
    <w:p w:rsidR="004106D1" w:rsidRDefault="004106D1" w:rsidP="00DA7245">
      <w:pPr>
        <w:spacing w:line="360" w:lineRule="auto"/>
        <w:rPr>
          <w:rFonts w:ascii="Times New Roman" w:eastAsia="仿宋_GB2312" w:hAnsi="Times New Roman" w:cs="Times New Roman"/>
          <w:sz w:val="24"/>
          <w:szCs w:val="24"/>
        </w:rPr>
      </w:pPr>
    </w:p>
    <w:p w:rsidR="004106D1" w:rsidRDefault="0022483A" w:rsidP="00DA7245">
      <w:pPr>
        <w:spacing w:line="360" w:lineRule="auto"/>
        <w:jc w:val="left"/>
        <w:rPr>
          <w:rFonts w:ascii="Times New Roman" w:eastAsia="仿宋_GB2312" w:hAnsi="Times New Roman" w:cs="Times New Roman"/>
          <w:b/>
          <w:sz w:val="24"/>
          <w:szCs w:val="24"/>
        </w:rPr>
      </w:pPr>
      <w:r>
        <w:rPr>
          <w:rFonts w:ascii="Times New Roman" w:eastAsia="仿宋_GB2312" w:hAnsi="Times New Roman" w:cs="Times New Roman" w:hint="eastAsia"/>
          <w:b/>
          <w:sz w:val="24"/>
          <w:szCs w:val="24"/>
        </w:rPr>
        <w:lastRenderedPageBreak/>
        <w:t>4</w:t>
      </w:r>
      <w:r>
        <w:rPr>
          <w:rFonts w:ascii="Times New Roman" w:eastAsia="仿宋_GB2312" w:hAnsi="Times New Roman" w:cs="Times New Roman" w:hint="eastAsia"/>
          <w:b/>
          <w:sz w:val="24"/>
          <w:szCs w:val="24"/>
        </w:rPr>
        <w:t>、课程体系</w:t>
      </w:r>
    </w:p>
    <w:p w:rsidR="004106D1" w:rsidRDefault="0022483A" w:rsidP="00DA7245">
      <w:pPr>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r>
        <w:rPr>
          <w:rFonts w:ascii="Times New Roman" w:eastAsia="仿宋_GB2312" w:hAnsi="Times New Roman" w:cs="Times New Roman" w:hint="eastAsia"/>
          <w:sz w:val="24"/>
          <w:szCs w:val="24"/>
        </w:rPr>
        <w:t>1</w:t>
      </w:r>
      <w:r>
        <w:rPr>
          <w:rFonts w:ascii="Times New Roman" w:eastAsia="仿宋_GB2312" w:hAnsi="Times New Roman" w:cs="Times New Roman" w:hint="eastAsia"/>
          <w:sz w:val="24"/>
          <w:szCs w:val="24"/>
        </w:rPr>
        <w:t>）课程体系总体框架</w:t>
      </w:r>
    </w:p>
    <w:p w:rsidR="004106D1" w:rsidRDefault="0022483A" w:rsidP="00DA7245">
      <w:pPr>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经济</w:t>
      </w:r>
      <w:r>
        <w:rPr>
          <w:rFonts w:ascii="Times New Roman" w:eastAsia="仿宋_GB2312" w:hAnsi="Times New Roman" w:cs="Times New Roman"/>
          <w:sz w:val="24"/>
          <w:szCs w:val="24"/>
        </w:rPr>
        <w:t>学专业</w:t>
      </w:r>
      <w:r>
        <w:rPr>
          <w:rFonts w:ascii="Times New Roman" w:eastAsia="仿宋_GB2312" w:hAnsi="Times New Roman" w:cs="Times New Roman" w:hint="eastAsia"/>
          <w:sz w:val="24"/>
          <w:szCs w:val="24"/>
        </w:rPr>
        <w:t>的</w:t>
      </w:r>
      <w:r>
        <w:rPr>
          <w:rFonts w:ascii="Times New Roman" w:eastAsia="仿宋_GB2312" w:hAnsi="Times New Roman" w:cs="Times New Roman"/>
          <w:sz w:val="24"/>
          <w:szCs w:val="24"/>
        </w:rPr>
        <w:t>课程</w:t>
      </w:r>
      <w:r>
        <w:rPr>
          <w:rFonts w:ascii="Times New Roman" w:eastAsia="仿宋_GB2312" w:hAnsi="Times New Roman" w:cs="Times New Roman" w:hint="eastAsia"/>
          <w:sz w:val="24"/>
          <w:szCs w:val="24"/>
        </w:rPr>
        <w:t>设置体系</w:t>
      </w:r>
      <w:r>
        <w:rPr>
          <w:rFonts w:ascii="Times New Roman" w:eastAsia="仿宋_GB2312" w:hAnsi="Times New Roman" w:cs="Times New Roman"/>
          <w:sz w:val="24"/>
          <w:szCs w:val="24"/>
        </w:rPr>
        <w:t>总体体现了</w:t>
      </w:r>
      <w:r>
        <w:rPr>
          <w:rFonts w:ascii="Times New Roman" w:eastAsia="仿宋_GB2312" w:hAnsi="Times New Roman" w:cs="Times New Roman"/>
          <w:sz w:val="24"/>
          <w:szCs w:val="24"/>
        </w:rPr>
        <w:t>“</w:t>
      </w:r>
      <w:r>
        <w:rPr>
          <w:rFonts w:ascii="Times New Roman" w:eastAsia="仿宋_GB2312" w:hAnsi="Times New Roman" w:cs="Times New Roman"/>
          <w:sz w:val="24"/>
          <w:szCs w:val="24"/>
        </w:rPr>
        <w:t>宽口径、厚基础、</w:t>
      </w:r>
      <w:r>
        <w:rPr>
          <w:rFonts w:ascii="Times New Roman" w:eastAsia="仿宋_GB2312" w:hAnsi="Times New Roman" w:cs="Times New Roman" w:hint="eastAsia"/>
          <w:sz w:val="24"/>
          <w:szCs w:val="24"/>
        </w:rPr>
        <w:t>重实践</w:t>
      </w:r>
      <w:r>
        <w:rPr>
          <w:rFonts w:ascii="Times New Roman" w:eastAsia="仿宋_GB2312" w:hAnsi="Times New Roman" w:cs="Times New Roman"/>
          <w:sz w:val="24"/>
          <w:szCs w:val="24"/>
        </w:rPr>
        <w:t>、个性化</w:t>
      </w:r>
      <w:r>
        <w:rPr>
          <w:rFonts w:ascii="Times New Roman" w:eastAsia="仿宋_GB2312" w:hAnsi="Times New Roman" w:cs="Times New Roman"/>
          <w:sz w:val="24"/>
          <w:szCs w:val="24"/>
        </w:rPr>
        <w:t>”</w:t>
      </w:r>
      <w:r>
        <w:rPr>
          <w:rFonts w:ascii="Times New Roman" w:eastAsia="仿宋_GB2312" w:hAnsi="Times New Roman" w:cs="Times New Roman"/>
          <w:sz w:val="24"/>
          <w:szCs w:val="24"/>
        </w:rPr>
        <w:t>的特色</w:t>
      </w:r>
      <w:r>
        <w:rPr>
          <w:rFonts w:ascii="Times New Roman" w:eastAsia="仿宋_GB2312" w:hAnsi="Times New Roman" w:cs="Times New Roman" w:hint="eastAsia"/>
          <w:sz w:val="24"/>
          <w:szCs w:val="24"/>
        </w:rPr>
        <w:t>。</w:t>
      </w:r>
    </w:p>
    <w:p w:rsidR="004106D1" w:rsidRDefault="0022483A" w:rsidP="00DA7245">
      <w:pPr>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r>
        <w:rPr>
          <w:rFonts w:ascii="Times New Roman" w:eastAsia="仿宋_GB2312" w:hAnsi="Times New Roman" w:cs="Times New Roman" w:hint="eastAsia"/>
          <w:sz w:val="24"/>
          <w:szCs w:val="24"/>
        </w:rPr>
        <w:t>2</w:t>
      </w:r>
      <w:r>
        <w:rPr>
          <w:rFonts w:ascii="Times New Roman" w:eastAsia="仿宋_GB2312" w:hAnsi="Times New Roman" w:cs="Times New Roman" w:hint="eastAsia"/>
          <w:sz w:val="24"/>
          <w:szCs w:val="24"/>
        </w:rPr>
        <w:t>）专业基础课程</w:t>
      </w:r>
    </w:p>
    <w:p w:rsidR="004106D1" w:rsidRDefault="0022483A" w:rsidP="00DA7245">
      <w:pPr>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经济学专业学科大类基础课体现出“宽口径、厚基础”的特色。本专业的学生需要修读的学科大类基础课程包括：微观经济学、宏观经济学、政治经济学、管理学原理、心理学、沟通、计算机编程语言等。进入基础课程的学习阶段，学生还需学习中级微观经济学、中级宏观经济学、计量经济学。基于经济学科本身的特点，学生需要掌握扎实的数理基础和良好的英语应用能力，因此，学生需要学习包括《高等数学》、《线性代数》、《概率论与数理统计》在内的数学基础课程。</w:t>
      </w:r>
    </w:p>
    <w:p w:rsidR="004106D1" w:rsidRDefault="0022483A" w:rsidP="00DA7245">
      <w:pPr>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r>
        <w:rPr>
          <w:rFonts w:ascii="Times New Roman" w:eastAsia="仿宋_GB2312" w:hAnsi="Times New Roman" w:cs="Times New Roman" w:hint="eastAsia"/>
          <w:sz w:val="24"/>
          <w:szCs w:val="24"/>
        </w:rPr>
        <w:t>3</w:t>
      </w:r>
      <w:r>
        <w:rPr>
          <w:rFonts w:ascii="Times New Roman" w:eastAsia="仿宋_GB2312" w:hAnsi="Times New Roman" w:cs="Times New Roman"/>
          <w:sz w:val="24"/>
          <w:szCs w:val="24"/>
        </w:rPr>
        <w:t>）专业基础课与专业核心课衔接</w:t>
      </w:r>
    </w:p>
    <w:p w:rsidR="004106D1" w:rsidRDefault="0022483A" w:rsidP="00DA7245">
      <w:pPr>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本专业基础课包括：《</w:t>
      </w:r>
      <w:r>
        <w:rPr>
          <w:rFonts w:ascii="Times New Roman" w:eastAsia="仿宋_GB2312" w:hAnsi="Times New Roman" w:cs="Times New Roman"/>
          <w:sz w:val="24"/>
          <w:szCs w:val="24"/>
        </w:rPr>
        <w:t>中级微观经济学</w:t>
      </w:r>
      <w:r>
        <w:rPr>
          <w:rFonts w:ascii="Times New Roman" w:eastAsia="仿宋_GB2312" w:hAnsi="Times New Roman" w:cs="Times New Roman" w:hint="eastAsia"/>
          <w:sz w:val="24"/>
          <w:szCs w:val="24"/>
        </w:rPr>
        <w:t>（英）》、《中级宏观经济学（英）》、《计量经济学》、《计量经济学上机》、《经济学研究方法》。这些课程不仅是学生后续学习</w:t>
      </w:r>
      <w:r>
        <w:rPr>
          <w:rFonts w:ascii="Times New Roman" w:eastAsia="仿宋_GB2312" w:hAnsi="Times New Roman" w:cs="Times New Roman"/>
          <w:sz w:val="24"/>
          <w:szCs w:val="24"/>
        </w:rPr>
        <w:t>专业核心课的必备基础，</w:t>
      </w:r>
      <w:r>
        <w:rPr>
          <w:rFonts w:ascii="Times New Roman" w:eastAsia="仿宋_GB2312" w:hAnsi="Times New Roman" w:cs="Times New Roman" w:hint="eastAsia"/>
          <w:sz w:val="24"/>
          <w:szCs w:val="24"/>
        </w:rPr>
        <w:t>也是为其后续可能进行的学术研究所做的准备，以使学生初步具有独立科研能力，挖掘学生进一步学术深造的潜质。</w:t>
      </w:r>
    </w:p>
    <w:p w:rsidR="004106D1" w:rsidRDefault="0022483A" w:rsidP="00DA7245">
      <w:pPr>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这些课程的开设需要学生系统掌握好专业大类课程基础上再行学习。比如计算机编程语言为计量经济学上机课程打下好的基础。同时，专业核心课程本身也体现了一定的优先顺序，比如学生需要学习《中级宏观经济学》和《中级微观经济学》之后，再学习《博弈论与信息经济学》、《国际经济学》等课程。</w:t>
      </w:r>
    </w:p>
    <w:p w:rsidR="004106D1" w:rsidRDefault="0022483A" w:rsidP="00DA7245">
      <w:pPr>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r>
        <w:rPr>
          <w:rFonts w:ascii="Times New Roman" w:eastAsia="仿宋_GB2312" w:hAnsi="Times New Roman" w:cs="Times New Roman"/>
          <w:sz w:val="24"/>
          <w:szCs w:val="24"/>
        </w:rPr>
        <w:t>4</w:t>
      </w:r>
      <w:r>
        <w:rPr>
          <w:rFonts w:ascii="Times New Roman" w:eastAsia="仿宋_GB2312" w:hAnsi="Times New Roman" w:cs="Times New Roman" w:hint="eastAsia"/>
          <w:sz w:val="24"/>
          <w:szCs w:val="24"/>
        </w:rPr>
        <w:t>）专业核心课程</w:t>
      </w:r>
    </w:p>
    <w:p w:rsidR="004106D1" w:rsidRDefault="0022483A" w:rsidP="00DA7245">
      <w:pPr>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专业核心课程的开设体现了经济学科发展的现实特点。本专业的核心课程包括：《公共经济学》、《国际经济学》、《制度经济学》、《经济思想史》、《博弈论与信息经济学》、《全球经济政策》和《</w:t>
      </w:r>
      <w:r>
        <w:rPr>
          <w:rFonts w:ascii="Times New Roman" w:eastAsia="仿宋_GB2312" w:hAnsi="Times New Roman" w:cs="Times New Roman" w:hint="eastAsia"/>
          <w:sz w:val="24"/>
          <w:szCs w:val="24"/>
        </w:rPr>
        <w:t>&lt;</w:t>
      </w:r>
      <w:r>
        <w:rPr>
          <w:rFonts w:ascii="Times New Roman" w:eastAsia="仿宋_GB2312" w:hAnsi="Times New Roman" w:cs="Times New Roman" w:hint="eastAsia"/>
          <w:sz w:val="24"/>
          <w:szCs w:val="24"/>
        </w:rPr>
        <w:t>资本论</w:t>
      </w:r>
      <w:r>
        <w:rPr>
          <w:rFonts w:ascii="Times New Roman" w:eastAsia="仿宋_GB2312" w:hAnsi="Times New Roman" w:cs="Times New Roman" w:hint="eastAsia"/>
          <w:sz w:val="24"/>
          <w:szCs w:val="24"/>
        </w:rPr>
        <w:t>&gt;</w:t>
      </w:r>
      <w:r>
        <w:rPr>
          <w:rFonts w:ascii="Times New Roman" w:eastAsia="仿宋_GB2312" w:hAnsi="Times New Roman" w:cs="Times New Roman" w:hint="eastAsia"/>
          <w:sz w:val="24"/>
          <w:szCs w:val="24"/>
        </w:rPr>
        <w:t>导读与马克思主义经济学说》。专业选修课则进一步在本学科重点领域和实务发展需求的基础上进行细化和拓展。包括为学生未来从事研究打下扎实基础的实证金融等课程，并期望培养的学生能满足当前金融实务发展的需求，体现了“重实践”的课程特色。</w:t>
      </w:r>
    </w:p>
    <w:p w:rsidR="004106D1" w:rsidRDefault="0022483A" w:rsidP="00DA7245">
      <w:pPr>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r>
        <w:rPr>
          <w:rFonts w:ascii="Times New Roman" w:eastAsia="仿宋_GB2312" w:hAnsi="Times New Roman" w:cs="Times New Roman"/>
          <w:sz w:val="24"/>
          <w:szCs w:val="24"/>
        </w:rPr>
        <w:t>5</w:t>
      </w:r>
      <w:r>
        <w:rPr>
          <w:rFonts w:ascii="Times New Roman" w:eastAsia="仿宋_GB2312" w:hAnsi="Times New Roman" w:cs="Times New Roman" w:hint="eastAsia"/>
          <w:sz w:val="24"/>
          <w:szCs w:val="24"/>
        </w:rPr>
        <w:t>）实践教学课程</w:t>
      </w:r>
    </w:p>
    <w:p w:rsidR="004106D1" w:rsidRDefault="0022483A" w:rsidP="00DA7245">
      <w:pPr>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专业实践课包含社会调研与实践</w:t>
      </w:r>
      <w:r>
        <w:rPr>
          <w:rFonts w:ascii="Times New Roman" w:eastAsia="仿宋_GB2312" w:hAnsi="Times New Roman" w:cs="Times New Roman" w:hint="eastAsia"/>
          <w:sz w:val="24"/>
          <w:szCs w:val="24"/>
        </w:rPr>
        <w:t>和社会实习。</w:t>
      </w:r>
    </w:p>
    <w:p w:rsidR="004106D1" w:rsidRDefault="0022483A" w:rsidP="00DA7245">
      <w:pPr>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lastRenderedPageBreak/>
        <w:t>通过社会调研和实践</w:t>
      </w:r>
      <w:r>
        <w:rPr>
          <w:rFonts w:ascii="Times New Roman" w:eastAsia="仿宋_GB2312" w:hAnsi="Times New Roman" w:cs="Times New Roman"/>
          <w:sz w:val="24"/>
          <w:szCs w:val="24"/>
        </w:rPr>
        <w:t>课程，学生到广东较落后农村地区进行</w:t>
      </w:r>
      <w:r>
        <w:rPr>
          <w:rFonts w:ascii="Times New Roman" w:eastAsia="仿宋_GB2312" w:hAnsi="Times New Roman" w:cs="Times New Roman" w:hint="eastAsia"/>
          <w:sz w:val="24"/>
          <w:szCs w:val="24"/>
        </w:rPr>
        <w:t>实地</w:t>
      </w:r>
      <w:r>
        <w:rPr>
          <w:rFonts w:ascii="Times New Roman" w:eastAsia="仿宋_GB2312" w:hAnsi="Times New Roman" w:cs="Times New Roman"/>
          <w:sz w:val="24"/>
          <w:szCs w:val="24"/>
        </w:rPr>
        <w:t>社会调查</w:t>
      </w:r>
      <w:r>
        <w:rPr>
          <w:rFonts w:ascii="Times New Roman" w:eastAsia="仿宋_GB2312" w:hAnsi="Times New Roman" w:cs="Times New Roman" w:hint="eastAsia"/>
          <w:sz w:val="24"/>
          <w:szCs w:val="24"/>
        </w:rPr>
        <w:t>访谈</w:t>
      </w:r>
      <w:r>
        <w:rPr>
          <w:rFonts w:ascii="Times New Roman" w:eastAsia="仿宋_GB2312" w:hAnsi="Times New Roman" w:cs="Times New Roman"/>
          <w:sz w:val="24"/>
          <w:szCs w:val="24"/>
        </w:rPr>
        <w:t>，撰写详细调研报告，</w:t>
      </w:r>
      <w:r>
        <w:rPr>
          <w:rFonts w:ascii="Times New Roman" w:eastAsia="仿宋_GB2312" w:hAnsi="Times New Roman" w:cs="Times New Roman" w:hint="eastAsia"/>
          <w:sz w:val="24"/>
          <w:szCs w:val="24"/>
        </w:rPr>
        <w:t>增</w:t>
      </w:r>
      <w:r>
        <w:rPr>
          <w:rFonts w:ascii="Times New Roman" w:eastAsia="仿宋_GB2312" w:hAnsi="Times New Roman" w:cs="Times New Roman"/>
          <w:sz w:val="24"/>
          <w:szCs w:val="24"/>
        </w:rPr>
        <w:t>强学生社会责任感，加强学生沟通交流能力与社会调研实践水平。</w:t>
      </w:r>
    </w:p>
    <w:p w:rsidR="004106D1" w:rsidRDefault="0022483A" w:rsidP="00DA7245">
      <w:pPr>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通过社会实习</w:t>
      </w:r>
      <w:r>
        <w:rPr>
          <w:rFonts w:ascii="Times New Roman" w:eastAsia="仿宋_GB2312" w:hAnsi="Times New Roman" w:cs="Times New Roman" w:hint="eastAsia"/>
          <w:sz w:val="24"/>
          <w:szCs w:val="24"/>
        </w:rPr>
        <w:t>课程</w:t>
      </w:r>
      <w:r>
        <w:rPr>
          <w:rFonts w:ascii="Times New Roman" w:eastAsia="仿宋_GB2312" w:hAnsi="Times New Roman" w:cs="Times New Roman"/>
          <w:sz w:val="24"/>
          <w:szCs w:val="24"/>
        </w:rPr>
        <w:t>，学生在</w:t>
      </w:r>
      <w:r>
        <w:rPr>
          <w:rFonts w:ascii="Times New Roman" w:eastAsia="仿宋_GB2312" w:hAnsi="Times New Roman" w:cs="Times New Roman" w:hint="eastAsia"/>
          <w:sz w:val="24"/>
          <w:szCs w:val="24"/>
        </w:rPr>
        <w:t>学院推荐或协议的</w:t>
      </w:r>
      <w:r>
        <w:rPr>
          <w:rFonts w:ascii="Times New Roman" w:eastAsia="仿宋_GB2312" w:hAnsi="Times New Roman" w:cs="Times New Roman"/>
          <w:sz w:val="24"/>
          <w:szCs w:val="24"/>
        </w:rPr>
        <w:t>企业</w:t>
      </w:r>
      <w:r>
        <w:rPr>
          <w:rFonts w:ascii="Times New Roman" w:eastAsia="仿宋_GB2312" w:hAnsi="Times New Roman" w:cs="Times New Roman" w:hint="eastAsia"/>
          <w:sz w:val="24"/>
          <w:szCs w:val="24"/>
        </w:rPr>
        <w:t>或自行联系的企业尤其是金融类企业</w:t>
      </w:r>
      <w:r>
        <w:rPr>
          <w:rFonts w:ascii="Times New Roman" w:eastAsia="仿宋_GB2312" w:hAnsi="Times New Roman" w:cs="Times New Roman"/>
          <w:sz w:val="24"/>
          <w:szCs w:val="24"/>
        </w:rPr>
        <w:t>进行实践</w:t>
      </w:r>
      <w:r>
        <w:rPr>
          <w:rFonts w:ascii="Times New Roman" w:eastAsia="仿宋_GB2312" w:hAnsi="Times New Roman" w:cs="Times New Roman" w:hint="eastAsia"/>
          <w:sz w:val="24"/>
          <w:szCs w:val="24"/>
        </w:rPr>
        <w:t>。通过这一实践，培养学生运用金融基础知识和理论来发现问题、分析问题、解决问题的实践能力和创新能力，以及良好的沟通能力和思辨能力。这些课程充分体现出本专业“重实践”的特色。</w:t>
      </w:r>
    </w:p>
    <w:p w:rsidR="004106D1" w:rsidRDefault="0022483A" w:rsidP="00DA7245">
      <w:pPr>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r>
        <w:rPr>
          <w:rFonts w:ascii="Times New Roman" w:eastAsia="仿宋_GB2312" w:hAnsi="Times New Roman" w:cs="Times New Roman"/>
          <w:sz w:val="24"/>
          <w:szCs w:val="24"/>
        </w:rPr>
        <w:t>6)</w:t>
      </w:r>
      <w:r>
        <w:rPr>
          <w:rFonts w:ascii="Times New Roman" w:eastAsia="仿宋_GB2312" w:hAnsi="Times New Roman" w:cs="Times New Roman"/>
          <w:sz w:val="24"/>
          <w:szCs w:val="24"/>
        </w:rPr>
        <w:t>个性化课程</w:t>
      </w:r>
    </w:p>
    <w:p w:rsidR="004106D1" w:rsidRDefault="0022483A" w:rsidP="00DA7245">
      <w:pPr>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经济学</w:t>
      </w:r>
      <w:r>
        <w:rPr>
          <w:rFonts w:ascii="Times New Roman" w:eastAsia="仿宋_GB2312" w:hAnsi="Times New Roman" w:cs="Times New Roman"/>
          <w:sz w:val="24"/>
          <w:szCs w:val="24"/>
        </w:rPr>
        <w:t>专业教师绝大部分教师在</w:t>
      </w:r>
      <w:r>
        <w:rPr>
          <w:rFonts w:ascii="Times New Roman" w:eastAsia="仿宋_GB2312" w:hAnsi="Times New Roman" w:cs="Times New Roman" w:hint="eastAsia"/>
          <w:sz w:val="24"/>
          <w:szCs w:val="24"/>
        </w:rPr>
        <w:t>经济与金融领域的</w:t>
      </w:r>
      <w:r>
        <w:rPr>
          <w:rFonts w:ascii="Times New Roman" w:eastAsia="仿宋_GB2312" w:hAnsi="Times New Roman" w:cs="Times New Roman"/>
          <w:sz w:val="24"/>
          <w:szCs w:val="24"/>
        </w:rPr>
        <w:t>国内外顶级期刊发表论文，因此在多门课程如</w:t>
      </w:r>
      <w:r>
        <w:rPr>
          <w:rFonts w:ascii="Times New Roman" w:eastAsia="仿宋_GB2312" w:hAnsi="Times New Roman" w:cs="Times New Roman" w:hint="eastAsia"/>
          <w:sz w:val="24"/>
          <w:szCs w:val="24"/>
        </w:rPr>
        <w:t>《博弈论与信息经济学》</w:t>
      </w: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《国际经济学》</w:t>
      </w: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《计量经济学》</w:t>
      </w: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《时间序列分析》等</w:t>
      </w:r>
      <w:r>
        <w:rPr>
          <w:rFonts w:ascii="Times New Roman" w:eastAsia="仿宋_GB2312" w:hAnsi="Times New Roman" w:cs="Times New Roman"/>
          <w:sz w:val="24"/>
          <w:szCs w:val="24"/>
        </w:rPr>
        <w:t>会介绍本学科</w:t>
      </w:r>
      <w:r>
        <w:rPr>
          <w:rFonts w:ascii="Times New Roman" w:eastAsia="仿宋_GB2312" w:hAnsi="Times New Roman" w:cs="Times New Roman" w:hint="eastAsia"/>
          <w:sz w:val="24"/>
          <w:szCs w:val="24"/>
        </w:rPr>
        <w:t>国际</w:t>
      </w:r>
      <w:r>
        <w:rPr>
          <w:rFonts w:ascii="Times New Roman" w:eastAsia="仿宋_GB2312" w:hAnsi="Times New Roman" w:cs="Times New Roman"/>
          <w:sz w:val="24"/>
          <w:szCs w:val="24"/>
        </w:rPr>
        <w:t>前沿理论与方法，同时</w:t>
      </w:r>
      <w:r>
        <w:rPr>
          <w:rFonts w:ascii="Times New Roman" w:eastAsia="仿宋_GB2312" w:hAnsi="Times New Roman" w:cs="Times New Roman" w:hint="eastAsia"/>
          <w:sz w:val="24"/>
          <w:szCs w:val="24"/>
        </w:rPr>
        <w:t>结合</w:t>
      </w:r>
      <w:r>
        <w:rPr>
          <w:rFonts w:ascii="Times New Roman" w:eastAsia="仿宋_GB2312" w:hAnsi="Times New Roman" w:cs="Times New Roman"/>
          <w:sz w:val="24"/>
          <w:szCs w:val="24"/>
        </w:rPr>
        <w:t>本领域国内外顶级期刊论文</w:t>
      </w:r>
      <w:r>
        <w:rPr>
          <w:rFonts w:ascii="Times New Roman" w:eastAsia="仿宋_GB2312" w:hAnsi="Times New Roman" w:cs="Times New Roman" w:hint="eastAsia"/>
          <w:sz w:val="24"/>
          <w:szCs w:val="24"/>
        </w:rPr>
        <w:t>以及最新资本市场上发生的现象</w:t>
      </w:r>
      <w:r>
        <w:rPr>
          <w:rFonts w:ascii="Times New Roman" w:eastAsia="仿宋_GB2312" w:hAnsi="Times New Roman" w:cs="Times New Roman"/>
          <w:sz w:val="24"/>
          <w:szCs w:val="24"/>
        </w:rPr>
        <w:t>与</w:t>
      </w:r>
      <w:r>
        <w:rPr>
          <w:rFonts w:ascii="Times New Roman" w:eastAsia="仿宋_GB2312" w:hAnsi="Times New Roman" w:cs="Times New Roman" w:hint="eastAsia"/>
          <w:sz w:val="24"/>
          <w:szCs w:val="24"/>
        </w:rPr>
        <w:t>中国的制度背景，和</w:t>
      </w:r>
      <w:r>
        <w:rPr>
          <w:rFonts w:ascii="Times New Roman" w:eastAsia="仿宋_GB2312" w:hAnsi="Times New Roman" w:cs="Times New Roman"/>
          <w:sz w:val="24"/>
          <w:szCs w:val="24"/>
        </w:rPr>
        <w:t>学生讨论分析，使得有志于学术研究的学生早日参与到教师科研项目</w:t>
      </w:r>
      <w:r>
        <w:rPr>
          <w:rFonts w:ascii="Times New Roman" w:eastAsia="仿宋_GB2312" w:hAnsi="Times New Roman" w:cs="Times New Roman" w:hint="eastAsia"/>
          <w:sz w:val="24"/>
          <w:szCs w:val="24"/>
        </w:rPr>
        <w:t>和科研论文撰写</w:t>
      </w:r>
      <w:r>
        <w:rPr>
          <w:rFonts w:ascii="Times New Roman" w:eastAsia="仿宋_GB2312" w:hAnsi="Times New Roman" w:cs="Times New Roman"/>
          <w:sz w:val="24"/>
          <w:szCs w:val="24"/>
        </w:rPr>
        <w:t>，进行严格科研训练</w:t>
      </w:r>
      <w:r>
        <w:rPr>
          <w:rFonts w:ascii="Times New Roman" w:eastAsia="仿宋_GB2312" w:hAnsi="Times New Roman" w:cs="Times New Roman" w:hint="eastAsia"/>
          <w:sz w:val="24"/>
          <w:szCs w:val="24"/>
        </w:rPr>
        <w:t>，有助于学生到国内外名校相关领域继续深造</w:t>
      </w:r>
      <w:r>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其次，学院每周五下午都会邀请国内外的学者来岭南做金融、经济和管理三个系列的</w:t>
      </w:r>
      <w:r>
        <w:rPr>
          <w:rFonts w:ascii="Times New Roman" w:eastAsia="仿宋_GB2312" w:hAnsi="Times New Roman" w:cs="Times New Roman" w:hint="eastAsia"/>
          <w:sz w:val="24"/>
          <w:szCs w:val="24"/>
        </w:rPr>
        <w:t>seminar</w:t>
      </w:r>
      <w:r>
        <w:rPr>
          <w:rFonts w:ascii="Times New Roman" w:eastAsia="仿宋_GB2312" w:hAnsi="Times New Roman" w:cs="Times New Roman" w:hint="eastAsia"/>
          <w:sz w:val="24"/>
          <w:szCs w:val="24"/>
        </w:rPr>
        <w:t>，为学生提供好的学术讲座，也有助于培养学生的研究兴趣。</w:t>
      </w:r>
      <w:r w:rsidR="00651E13">
        <w:rPr>
          <w:rFonts w:ascii="Times New Roman" w:eastAsia="仿宋_GB2312" w:hAnsi="Times New Roman" w:cs="Times New Roman" w:hint="eastAsia"/>
          <w:sz w:val="24"/>
          <w:szCs w:val="24"/>
        </w:rPr>
        <w:t>以教育部</w:t>
      </w:r>
      <w:r w:rsidR="00651E13" w:rsidRPr="00ED3ABB">
        <w:rPr>
          <w:rFonts w:ascii="仿宋" w:eastAsia="仿宋" w:hAnsi="仿宋" w:cs="Times New Roman" w:hint="eastAsia"/>
          <w:bCs/>
          <w:sz w:val="24"/>
          <w:szCs w:val="24"/>
        </w:rPr>
        <w:t>基础学科拔尖学生培养计划</w:t>
      </w:r>
      <w:r w:rsidR="00651E13" w:rsidRPr="00ED3ABB">
        <w:rPr>
          <w:rFonts w:ascii="仿宋" w:eastAsia="仿宋" w:hAnsi="仿宋" w:cs="Times New Roman"/>
          <w:bCs/>
          <w:sz w:val="24"/>
          <w:szCs w:val="24"/>
        </w:rPr>
        <w:t>2.0</w:t>
      </w:r>
      <w:r w:rsidR="00651E13">
        <w:rPr>
          <w:rFonts w:ascii="仿宋" w:eastAsia="仿宋" w:hAnsi="仿宋" w:cs="Times New Roman" w:hint="eastAsia"/>
          <w:bCs/>
          <w:sz w:val="24"/>
          <w:szCs w:val="24"/>
        </w:rPr>
        <w:t>基地为依托</w:t>
      </w:r>
      <w:r w:rsidR="00651E13" w:rsidRPr="00D72650">
        <w:rPr>
          <w:rFonts w:ascii="Times New Roman" w:eastAsia="仿宋_GB2312" w:hAnsi="Times New Roman" w:cs="Times New Roman" w:hint="eastAsia"/>
          <w:sz w:val="24"/>
          <w:szCs w:val="24"/>
        </w:rPr>
        <w:t>，根据学生兴趣和学科前沿发展方向制定个性化培养方案，用创新性培养方式培养创新性人才。</w:t>
      </w:r>
    </w:p>
    <w:p w:rsidR="004106D1" w:rsidRDefault="0022483A" w:rsidP="00DA7245">
      <w:pPr>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总体来说，经济学</w:t>
      </w:r>
      <w:r>
        <w:rPr>
          <w:rFonts w:ascii="Times New Roman" w:eastAsia="仿宋_GB2312" w:hAnsi="Times New Roman" w:cs="Times New Roman"/>
          <w:sz w:val="24"/>
          <w:szCs w:val="24"/>
        </w:rPr>
        <w:t>专业</w:t>
      </w:r>
      <w:r>
        <w:rPr>
          <w:rFonts w:ascii="Times New Roman" w:eastAsia="仿宋_GB2312" w:hAnsi="Times New Roman" w:cs="Times New Roman" w:hint="eastAsia"/>
          <w:sz w:val="24"/>
          <w:szCs w:val="24"/>
        </w:rPr>
        <w:t>开设的课程</w:t>
      </w:r>
      <w:r>
        <w:rPr>
          <w:rFonts w:ascii="Times New Roman" w:eastAsia="仿宋_GB2312" w:hAnsi="Times New Roman" w:cs="Times New Roman"/>
          <w:sz w:val="24"/>
          <w:szCs w:val="24"/>
        </w:rPr>
        <w:t>为</w:t>
      </w:r>
      <w:r>
        <w:rPr>
          <w:rFonts w:ascii="Times New Roman" w:eastAsia="仿宋_GB2312" w:hAnsi="Times New Roman" w:cs="Times New Roman" w:hint="eastAsia"/>
          <w:sz w:val="24"/>
          <w:szCs w:val="24"/>
        </w:rPr>
        <w:t>未来想</w:t>
      </w:r>
      <w:r>
        <w:rPr>
          <w:rFonts w:ascii="Times New Roman" w:eastAsia="仿宋_GB2312" w:hAnsi="Times New Roman" w:cs="Times New Roman"/>
          <w:sz w:val="24"/>
          <w:szCs w:val="24"/>
        </w:rPr>
        <w:t>继续深造</w:t>
      </w:r>
      <w:r>
        <w:rPr>
          <w:rFonts w:ascii="Times New Roman" w:eastAsia="仿宋_GB2312" w:hAnsi="Times New Roman" w:cs="Times New Roman" w:hint="eastAsia"/>
          <w:sz w:val="24"/>
          <w:szCs w:val="24"/>
        </w:rPr>
        <w:t>或</w:t>
      </w:r>
      <w:r>
        <w:rPr>
          <w:rFonts w:ascii="Times New Roman" w:eastAsia="仿宋_GB2312" w:hAnsi="Times New Roman" w:cs="Times New Roman"/>
          <w:sz w:val="24"/>
          <w:szCs w:val="24"/>
        </w:rPr>
        <w:t>直接就业的学生提供了充分的训练</w:t>
      </w:r>
      <w:r>
        <w:rPr>
          <w:rFonts w:ascii="Times New Roman" w:eastAsia="仿宋_GB2312" w:hAnsi="Times New Roman" w:cs="Times New Roman" w:hint="eastAsia"/>
          <w:sz w:val="24"/>
          <w:szCs w:val="24"/>
        </w:rPr>
        <w:t>和准备</w:t>
      </w:r>
      <w:r>
        <w:rPr>
          <w:rFonts w:ascii="Times New Roman" w:eastAsia="仿宋_GB2312" w:hAnsi="Times New Roman" w:cs="Times New Roman"/>
          <w:sz w:val="24"/>
          <w:szCs w:val="24"/>
        </w:rPr>
        <w:t>，体现出</w:t>
      </w:r>
      <w:r>
        <w:rPr>
          <w:rFonts w:ascii="Times New Roman" w:eastAsia="仿宋_GB2312" w:hAnsi="Times New Roman" w:cs="Times New Roman"/>
          <w:sz w:val="24"/>
          <w:szCs w:val="24"/>
        </w:rPr>
        <w:t>“</w:t>
      </w:r>
      <w:r>
        <w:rPr>
          <w:rFonts w:ascii="Times New Roman" w:eastAsia="仿宋_GB2312" w:hAnsi="Times New Roman" w:cs="Times New Roman"/>
          <w:sz w:val="24"/>
          <w:szCs w:val="24"/>
        </w:rPr>
        <w:t>个性化</w:t>
      </w:r>
      <w:r>
        <w:rPr>
          <w:rFonts w:ascii="Times New Roman" w:eastAsia="仿宋_GB2312" w:hAnsi="Times New Roman" w:cs="Times New Roman"/>
          <w:sz w:val="24"/>
          <w:szCs w:val="24"/>
        </w:rPr>
        <w:t>”</w:t>
      </w:r>
      <w:r>
        <w:rPr>
          <w:rFonts w:ascii="Times New Roman" w:eastAsia="仿宋_GB2312" w:hAnsi="Times New Roman" w:cs="Times New Roman"/>
          <w:sz w:val="24"/>
          <w:szCs w:val="24"/>
        </w:rPr>
        <w:t>特色</w:t>
      </w:r>
      <w:r>
        <w:rPr>
          <w:rFonts w:ascii="Times New Roman" w:eastAsia="仿宋_GB2312" w:hAnsi="Times New Roman" w:cs="Times New Roman" w:hint="eastAsia"/>
          <w:sz w:val="24"/>
          <w:szCs w:val="24"/>
        </w:rPr>
        <w:t>。</w:t>
      </w:r>
    </w:p>
    <w:p w:rsidR="004106D1" w:rsidRDefault="004106D1" w:rsidP="00DA7245">
      <w:pPr>
        <w:spacing w:line="360" w:lineRule="auto"/>
        <w:rPr>
          <w:rFonts w:ascii="Times New Roman" w:eastAsia="仿宋_GB2312" w:hAnsi="Times New Roman" w:cs="Times New Roman"/>
          <w:sz w:val="24"/>
          <w:szCs w:val="24"/>
        </w:rPr>
      </w:pPr>
    </w:p>
    <w:p w:rsidR="004106D1" w:rsidRDefault="0022483A" w:rsidP="00DA7245">
      <w:pPr>
        <w:spacing w:line="360" w:lineRule="auto"/>
        <w:jc w:val="left"/>
        <w:rPr>
          <w:rFonts w:ascii="Times New Roman" w:eastAsia="仿宋_GB2312" w:hAnsi="Times New Roman" w:cs="Times New Roman"/>
          <w:b/>
          <w:sz w:val="24"/>
          <w:szCs w:val="24"/>
        </w:rPr>
      </w:pPr>
      <w:r>
        <w:rPr>
          <w:rFonts w:ascii="Times New Roman" w:eastAsia="仿宋_GB2312" w:hAnsi="Times New Roman" w:cs="Times New Roman" w:hint="eastAsia"/>
          <w:b/>
          <w:sz w:val="24"/>
          <w:szCs w:val="24"/>
        </w:rPr>
        <w:t>5</w:t>
      </w:r>
      <w:r>
        <w:rPr>
          <w:rFonts w:ascii="Times New Roman" w:eastAsia="仿宋_GB2312" w:hAnsi="Times New Roman" w:cs="Times New Roman" w:hint="eastAsia"/>
          <w:b/>
          <w:sz w:val="24"/>
          <w:szCs w:val="24"/>
        </w:rPr>
        <w:t>、师资队伍</w:t>
      </w:r>
    </w:p>
    <w:p w:rsidR="004106D1" w:rsidRDefault="0022483A" w:rsidP="00DA7245">
      <w:pPr>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中山大学岭南学院经济学系有一支结构合理、动态组合、团结协作、具有良好职业道德的优秀教学和研究团队。现有包括李胜兰教授、王曦教授、徐现祥教授、才国伟教授、周先波教授、林江教授、鲁晓东教授、杨永福教授等在内的教师</w:t>
      </w:r>
      <w:r>
        <w:rPr>
          <w:rFonts w:ascii="Times New Roman" w:eastAsia="仿宋_GB2312" w:hAnsi="Times New Roman" w:cs="Times New Roman"/>
          <w:sz w:val="24"/>
          <w:szCs w:val="24"/>
        </w:rPr>
        <w:t>30</w:t>
      </w:r>
      <w:r>
        <w:rPr>
          <w:rFonts w:ascii="Times New Roman" w:eastAsia="仿宋_GB2312" w:hAnsi="Times New Roman" w:cs="Times New Roman" w:hint="eastAsia"/>
          <w:sz w:val="24"/>
          <w:szCs w:val="24"/>
        </w:rPr>
        <w:t>多人，其中教授</w:t>
      </w:r>
      <w:r>
        <w:rPr>
          <w:rFonts w:ascii="Times New Roman" w:eastAsia="仿宋_GB2312" w:hAnsi="Times New Roman" w:cs="Times New Roman"/>
          <w:sz w:val="24"/>
          <w:szCs w:val="24"/>
        </w:rPr>
        <w:t>9</w:t>
      </w:r>
      <w:r>
        <w:rPr>
          <w:rFonts w:ascii="Times New Roman" w:eastAsia="仿宋_GB2312" w:hAnsi="Times New Roman" w:cs="Times New Roman" w:hint="eastAsia"/>
          <w:sz w:val="24"/>
          <w:szCs w:val="24"/>
        </w:rPr>
        <w:t>人，副教授</w:t>
      </w:r>
      <w:r>
        <w:rPr>
          <w:rFonts w:ascii="Times New Roman" w:eastAsia="仿宋_GB2312" w:hAnsi="Times New Roman" w:cs="Times New Roman"/>
          <w:sz w:val="24"/>
          <w:szCs w:val="24"/>
        </w:rPr>
        <w:t>12</w:t>
      </w:r>
      <w:r>
        <w:rPr>
          <w:rFonts w:ascii="Times New Roman" w:eastAsia="仿宋_GB2312" w:hAnsi="Times New Roman" w:cs="Times New Roman" w:hint="eastAsia"/>
          <w:sz w:val="24"/>
          <w:szCs w:val="24"/>
        </w:rPr>
        <w:t>人，讲师与助理教授</w:t>
      </w:r>
      <w:r>
        <w:rPr>
          <w:rFonts w:ascii="Times New Roman" w:eastAsia="仿宋_GB2312" w:hAnsi="Times New Roman" w:cs="Times New Roman"/>
          <w:sz w:val="24"/>
          <w:szCs w:val="24"/>
        </w:rPr>
        <w:t>12</w:t>
      </w:r>
      <w:r>
        <w:rPr>
          <w:rFonts w:ascii="Times New Roman" w:eastAsia="仿宋_GB2312" w:hAnsi="Times New Roman" w:cs="Times New Roman" w:hint="eastAsia"/>
          <w:sz w:val="24"/>
          <w:szCs w:val="24"/>
        </w:rPr>
        <w:t>人；</w:t>
      </w:r>
      <w:r>
        <w:rPr>
          <w:rFonts w:ascii="Times New Roman" w:eastAsia="仿宋_GB2312" w:hAnsi="Times New Roman" w:cs="Times New Roman"/>
          <w:sz w:val="24"/>
          <w:szCs w:val="24"/>
        </w:rPr>
        <w:t>“</w:t>
      </w:r>
      <w:r>
        <w:rPr>
          <w:rFonts w:ascii="Times New Roman" w:eastAsia="仿宋_GB2312" w:hAnsi="Times New Roman" w:cs="Times New Roman"/>
          <w:sz w:val="24"/>
          <w:szCs w:val="24"/>
        </w:rPr>
        <w:t>珠江</w:t>
      </w:r>
      <w:r>
        <w:rPr>
          <w:rFonts w:ascii="Times New Roman" w:eastAsia="仿宋_GB2312" w:hAnsi="Times New Roman" w:cs="Times New Roman" w:hint="eastAsia"/>
          <w:sz w:val="24"/>
          <w:szCs w:val="24"/>
        </w:rPr>
        <w:t>学者</w:t>
      </w:r>
      <w:r>
        <w:rPr>
          <w:rFonts w:ascii="Times New Roman" w:eastAsia="仿宋_GB2312" w:hAnsi="Times New Roman" w:cs="Times New Roman"/>
          <w:sz w:val="24"/>
          <w:szCs w:val="24"/>
        </w:rPr>
        <w:t>”1</w:t>
      </w:r>
      <w:r>
        <w:rPr>
          <w:rFonts w:ascii="Times New Roman" w:eastAsia="仿宋_GB2312" w:hAnsi="Times New Roman" w:cs="Times New Roman"/>
          <w:sz w:val="24"/>
          <w:szCs w:val="24"/>
        </w:rPr>
        <w:t>人，新世纪优秀人才计划</w:t>
      </w:r>
      <w:r>
        <w:rPr>
          <w:rFonts w:ascii="Times New Roman" w:eastAsia="仿宋_GB2312" w:hAnsi="Times New Roman" w:cs="Times New Roman"/>
          <w:sz w:val="24"/>
          <w:szCs w:val="24"/>
        </w:rPr>
        <w:t>1</w:t>
      </w:r>
      <w:r>
        <w:rPr>
          <w:rFonts w:ascii="Times New Roman" w:eastAsia="仿宋_GB2312" w:hAnsi="Times New Roman" w:cs="Times New Roman"/>
          <w:sz w:val="24"/>
          <w:szCs w:val="24"/>
        </w:rPr>
        <w:t>人。</w:t>
      </w:r>
      <w:r>
        <w:rPr>
          <w:rFonts w:ascii="Times New Roman" w:eastAsia="仿宋_GB2312" w:hAnsi="Times New Roman" w:cs="Times New Roman" w:hint="eastAsia"/>
          <w:sz w:val="24"/>
          <w:szCs w:val="24"/>
        </w:rPr>
        <w:t>大部分教师具有国外学习或访问研究经历，包括麻省理工学院、斯坦福大学、芝加哥洛约拉大学、纽约州立大学、英国曼彻斯特大学、波士顿大学、布兰迪斯大学、德国马格德堡大学、加拿大滑铁卢大学、明</w:t>
      </w:r>
      <w:r>
        <w:rPr>
          <w:rFonts w:ascii="Times New Roman" w:eastAsia="仿宋_GB2312" w:hAnsi="Times New Roman" w:cs="Times New Roman" w:hint="eastAsia"/>
          <w:sz w:val="24"/>
          <w:szCs w:val="24"/>
        </w:rPr>
        <w:lastRenderedPageBreak/>
        <w:t>尼苏达大学、澳大利亚国立大学、新加坡国立大学等。中山大学岭南学院经济学系教师的主要研究方向包括宏观经济、微观经济、发展经济、产业经济、制度经济、国际贸易、国际金融、计量经济</w:t>
      </w:r>
      <w:r w:rsidR="00975085">
        <w:rPr>
          <w:rFonts w:ascii="Times New Roman" w:eastAsia="仿宋_GB2312" w:hAnsi="Times New Roman" w:cs="Times New Roman" w:hint="eastAsia"/>
          <w:sz w:val="24"/>
          <w:szCs w:val="24"/>
        </w:rPr>
        <w:t>学</w:t>
      </w:r>
      <w:r>
        <w:rPr>
          <w:rFonts w:ascii="Times New Roman" w:eastAsia="仿宋_GB2312" w:hAnsi="Times New Roman" w:cs="Times New Roman" w:hint="eastAsia"/>
          <w:sz w:val="24"/>
          <w:szCs w:val="24"/>
        </w:rPr>
        <w:t>等。</w:t>
      </w:r>
    </w:p>
    <w:p w:rsidR="004106D1" w:rsidRDefault="0022483A" w:rsidP="00DA7245">
      <w:pPr>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中山大学</w:t>
      </w:r>
      <w:r>
        <w:rPr>
          <w:rFonts w:ascii="Times New Roman" w:eastAsia="仿宋_GB2312" w:hAnsi="Times New Roman" w:cs="Times New Roman" w:hint="eastAsia"/>
          <w:sz w:val="24"/>
          <w:szCs w:val="24"/>
        </w:rPr>
        <w:t>岭南学院经济学系</w:t>
      </w:r>
      <w:r>
        <w:rPr>
          <w:rFonts w:ascii="Times New Roman" w:eastAsia="仿宋_GB2312" w:hAnsi="Times New Roman" w:cs="Times New Roman"/>
          <w:sz w:val="24"/>
          <w:szCs w:val="24"/>
        </w:rPr>
        <w:t>近年来引进了一批国际一流大学毕业的师资</w:t>
      </w:r>
      <w:r>
        <w:rPr>
          <w:rFonts w:ascii="Times New Roman" w:eastAsia="仿宋_GB2312" w:hAnsi="Times New Roman" w:cs="Times New Roman" w:hint="eastAsia"/>
          <w:sz w:val="24"/>
          <w:szCs w:val="24"/>
        </w:rPr>
        <w:t>，</w:t>
      </w:r>
      <w:r>
        <w:rPr>
          <w:rFonts w:ascii="Times New Roman" w:eastAsia="仿宋_GB2312" w:hAnsi="Times New Roman" w:cs="Times New Roman"/>
          <w:sz w:val="24"/>
          <w:szCs w:val="24"/>
        </w:rPr>
        <w:t>并通过与</w:t>
      </w:r>
      <w:r>
        <w:rPr>
          <w:rFonts w:ascii="Times New Roman" w:eastAsia="仿宋_GB2312" w:hAnsi="Times New Roman" w:cs="Times New Roman"/>
          <w:sz w:val="24"/>
          <w:szCs w:val="24"/>
        </w:rPr>
        <w:t xml:space="preserve"> MI</w:t>
      </w:r>
      <w:r>
        <w:rPr>
          <w:rFonts w:ascii="Times New Roman" w:eastAsia="仿宋_GB2312" w:hAnsi="Times New Roman" w:cs="Times New Roman" w:hint="eastAsia"/>
          <w:sz w:val="24"/>
          <w:szCs w:val="24"/>
        </w:rPr>
        <w:t>T</w:t>
      </w:r>
      <w:r>
        <w:rPr>
          <w:rFonts w:ascii="Times New Roman" w:eastAsia="仿宋_GB2312" w:hAnsi="Times New Roman" w:cs="Times New Roman" w:hint="eastAsia"/>
          <w:sz w:val="24"/>
          <w:szCs w:val="24"/>
        </w:rPr>
        <w:t>、斯坦福大学、普林斯顿大学等顶尖大学的研究合作、引进访问教授等措施提升科学研究水平，产生了一系列高水平的科研成果。多个统计表明，中山大学经济</w:t>
      </w:r>
      <w:r>
        <w:rPr>
          <w:rFonts w:ascii="Times New Roman" w:eastAsia="仿宋_GB2312" w:hAnsi="Times New Roman" w:cs="Times New Roman"/>
          <w:sz w:val="24"/>
          <w:szCs w:val="24"/>
        </w:rPr>
        <w:t>学科</w:t>
      </w:r>
      <w:r>
        <w:rPr>
          <w:rFonts w:ascii="Times New Roman" w:eastAsia="仿宋_GB2312" w:hAnsi="Times New Roman" w:cs="Times New Roman" w:hint="eastAsia"/>
          <w:sz w:val="24"/>
          <w:szCs w:val="24"/>
        </w:rPr>
        <w:t>在国内外高水平刊物上的论文发表的数量位列全国高校前列，他引次数、高水平学术论文、人均发表等指标名列国内高校前列，科研项目众多，经费充足，一大批科研成果获得国家级和省部级科研奖励，享有很高的学术声誉。</w:t>
      </w:r>
    </w:p>
    <w:p w:rsidR="004106D1" w:rsidRDefault="0022483A" w:rsidP="00DA7245">
      <w:pPr>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近五年来，经济学系教师承担了</w:t>
      </w:r>
      <w:r>
        <w:rPr>
          <w:rFonts w:ascii="Times New Roman" w:eastAsia="仿宋_GB2312" w:hAnsi="Times New Roman" w:cs="Times New Roman"/>
          <w:sz w:val="24"/>
          <w:szCs w:val="24"/>
        </w:rPr>
        <w:t>7</w:t>
      </w:r>
      <w:r>
        <w:rPr>
          <w:rFonts w:ascii="Times New Roman" w:eastAsia="仿宋_GB2312" w:hAnsi="Times New Roman" w:cs="Times New Roman" w:hint="eastAsia"/>
          <w:sz w:val="24"/>
          <w:szCs w:val="24"/>
        </w:rPr>
        <w:t>项国家自然科学基金重点项目、国家社科基金重大项目和重点项目，</w:t>
      </w:r>
      <w:r>
        <w:rPr>
          <w:rFonts w:ascii="Times New Roman" w:eastAsia="仿宋_GB2312" w:hAnsi="Times New Roman" w:cs="Times New Roman" w:hint="eastAsia"/>
          <w:sz w:val="24"/>
          <w:szCs w:val="24"/>
        </w:rPr>
        <w:t>20</w:t>
      </w:r>
      <w:r>
        <w:rPr>
          <w:rFonts w:ascii="Times New Roman" w:eastAsia="仿宋_GB2312" w:hAnsi="Times New Roman" w:cs="Times New Roman" w:hint="eastAsia"/>
          <w:sz w:val="24"/>
          <w:szCs w:val="24"/>
        </w:rPr>
        <w:t>多项国家自然科学基金项目、国家社科基金面上项目和青年项目，还有多项省部级其他项目。在《经济研究》、《管理世界》、《经济学</w:t>
      </w:r>
      <w:r>
        <w:rPr>
          <w:rFonts w:ascii="Times New Roman" w:eastAsia="仿宋_GB2312" w:hAnsi="Times New Roman" w:cs="Times New Roman" w:hint="eastAsia"/>
          <w:sz w:val="24"/>
          <w:szCs w:val="24"/>
        </w:rPr>
        <w:t>(</w:t>
      </w:r>
      <w:r>
        <w:rPr>
          <w:rFonts w:ascii="Times New Roman" w:eastAsia="仿宋_GB2312" w:hAnsi="Times New Roman" w:cs="Times New Roman" w:hint="eastAsia"/>
          <w:sz w:val="24"/>
          <w:szCs w:val="24"/>
        </w:rPr>
        <w:t>季刊</w:t>
      </w:r>
      <w:r>
        <w:rPr>
          <w:rFonts w:ascii="Times New Roman" w:eastAsia="仿宋_GB2312" w:hAnsi="Times New Roman" w:cs="Times New Roman" w:hint="eastAsia"/>
          <w:sz w:val="24"/>
          <w:szCs w:val="24"/>
        </w:rPr>
        <w:t>)</w:t>
      </w:r>
      <w:r>
        <w:rPr>
          <w:rFonts w:ascii="Times New Roman" w:eastAsia="仿宋_GB2312" w:hAnsi="Times New Roman" w:cs="Times New Roman" w:hint="eastAsia"/>
          <w:sz w:val="24"/>
          <w:szCs w:val="24"/>
        </w:rPr>
        <w:t>》、《管理科学学报》、《统计研究》、《世界经济》、</w:t>
      </w:r>
      <w:r>
        <w:rPr>
          <w:rFonts w:ascii="Times New Roman" w:eastAsia="仿宋_GB2312" w:hAnsi="Times New Roman" w:cs="Times New Roman" w:hint="eastAsia"/>
          <w:sz w:val="24"/>
          <w:szCs w:val="24"/>
        </w:rPr>
        <w:t xml:space="preserve">Journal of </w:t>
      </w:r>
      <w:r>
        <w:rPr>
          <w:rFonts w:ascii="Times New Roman" w:eastAsia="仿宋_GB2312" w:hAnsi="Times New Roman" w:cs="Times New Roman"/>
          <w:sz w:val="24"/>
          <w:szCs w:val="24"/>
        </w:rPr>
        <w:t>Econometrics</w:t>
      </w:r>
      <w:r>
        <w:rPr>
          <w:rFonts w:ascii="Times New Roman" w:eastAsia="仿宋_GB2312" w:hAnsi="Times New Roman" w:cs="Times New Roman" w:hint="eastAsia"/>
          <w:sz w:val="24"/>
          <w:szCs w:val="24"/>
        </w:rPr>
        <w:t>、</w:t>
      </w:r>
      <w:r>
        <w:rPr>
          <w:rFonts w:ascii="Times New Roman" w:eastAsia="仿宋_GB2312" w:hAnsi="Times New Roman" w:cs="Times New Roman"/>
          <w:sz w:val="24"/>
          <w:szCs w:val="24"/>
        </w:rPr>
        <w:t>Econometric Theory</w:t>
      </w:r>
      <w:r>
        <w:rPr>
          <w:rFonts w:ascii="Times New Roman" w:eastAsia="仿宋_GB2312" w:hAnsi="Times New Roman" w:cs="Times New Roman" w:hint="eastAsia"/>
          <w:sz w:val="24"/>
          <w:szCs w:val="24"/>
        </w:rPr>
        <w:t>、</w:t>
      </w:r>
      <w:r w:rsidR="009F6CCB">
        <w:rPr>
          <w:rFonts w:ascii="Times New Roman" w:eastAsia="仿宋_GB2312" w:hAnsi="Times New Roman" w:cs="Times New Roman" w:hint="eastAsia"/>
          <w:sz w:val="24"/>
          <w:szCs w:val="24"/>
        </w:rPr>
        <w:t>J</w:t>
      </w:r>
      <w:r w:rsidR="009F6CCB">
        <w:rPr>
          <w:rFonts w:ascii="Times New Roman" w:eastAsia="仿宋_GB2312" w:hAnsi="Times New Roman" w:cs="Times New Roman"/>
          <w:sz w:val="24"/>
          <w:szCs w:val="24"/>
        </w:rPr>
        <w:t xml:space="preserve">ournal of International Economics, Journal of Development Economics, </w:t>
      </w:r>
      <w:r>
        <w:rPr>
          <w:rFonts w:ascii="Times New Roman" w:eastAsia="仿宋_GB2312" w:hAnsi="Times New Roman" w:cs="Times New Roman"/>
          <w:sz w:val="24"/>
          <w:szCs w:val="24"/>
        </w:rPr>
        <w:t>Journal of Business &amp; Economic Statistics</w:t>
      </w:r>
      <w:r>
        <w:rPr>
          <w:rFonts w:ascii="Times New Roman" w:eastAsia="仿宋_GB2312" w:hAnsi="Times New Roman" w:cs="Times New Roman"/>
          <w:sz w:val="24"/>
          <w:szCs w:val="24"/>
        </w:rPr>
        <w:t>、</w:t>
      </w:r>
      <w:r>
        <w:rPr>
          <w:rFonts w:ascii="Times New Roman" w:eastAsia="仿宋_GB2312" w:hAnsi="Times New Roman" w:cs="Times New Roman"/>
          <w:sz w:val="24"/>
          <w:szCs w:val="24"/>
        </w:rPr>
        <w:t>China Economic Review</w:t>
      </w:r>
      <w:r>
        <w:rPr>
          <w:rFonts w:ascii="Times New Roman" w:eastAsia="仿宋_GB2312" w:hAnsi="Times New Roman" w:cs="Times New Roman"/>
          <w:sz w:val="24"/>
          <w:szCs w:val="24"/>
        </w:rPr>
        <w:t>、</w:t>
      </w:r>
      <w:r>
        <w:rPr>
          <w:rFonts w:ascii="Times New Roman" w:eastAsia="仿宋_GB2312" w:hAnsi="Times New Roman" w:cs="Times New Roman"/>
          <w:sz w:val="24"/>
          <w:szCs w:val="24"/>
        </w:rPr>
        <w:t>Journal of International Money and Finance</w:t>
      </w:r>
      <w:r>
        <w:rPr>
          <w:rFonts w:ascii="Times New Roman" w:eastAsia="仿宋_GB2312" w:hAnsi="Times New Roman" w:cs="Times New Roman"/>
          <w:sz w:val="24"/>
          <w:szCs w:val="24"/>
        </w:rPr>
        <w:t>、</w:t>
      </w:r>
      <w:r>
        <w:rPr>
          <w:rFonts w:ascii="Times New Roman" w:eastAsia="仿宋_GB2312" w:hAnsi="Times New Roman" w:cs="Times New Roman"/>
          <w:sz w:val="24"/>
          <w:szCs w:val="24"/>
        </w:rPr>
        <w:t>Insurance: Mathematics and Economics</w:t>
      </w:r>
      <w:r>
        <w:rPr>
          <w:rFonts w:ascii="Times New Roman" w:eastAsia="仿宋_GB2312" w:hAnsi="Times New Roman" w:cs="Times New Roman"/>
          <w:sz w:val="24"/>
          <w:szCs w:val="24"/>
        </w:rPr>
        <w:t>、</w:t>
      </w:r>
      <w:r>
        <w:rPr>
          <w:rFonts w:ascii="Times New Roman" w:eastAsia="仿宋_GB2312" w:hAnsi="Times New Roman" w:cs="Times New Roman"/>
          <w:sz w:val="24"/>
          <w:szCs w:val="24"/>
        </w:rPr>
        <w:t>Economics Letters</w:t>
      </w:r>
      <w:r>
        <w:rPr>
          <w:rFonts w:ascii="Times New Roman" w:eastAsia="仿宋_GB2312" w:hAnsi="Times New Roman" w:cs="Times New Roman"/>
          <w:sz w:val="24"/>
          <w:szCs w:val="24"/>
        </w:rPr>
        <w:t>、</w:t>
      </w:r>
      <w:r>
        <w:rPr>
          <w:rFonts w:ascii="Times New Roman" w:eastAsia="仿宋_GB2312" w:hAnsi="Times New Roman" w:cs="Times New Roman"/>
          <w:sz w:val="24"/>
          <w:szCs w:val="24"/>
        </w:rPr>
        <w:t>Economic Modelling</w:t>
      </w:r>
      <w:r>
        <w:rPr>
          <w:rFonts w:ascii="Times New Roman" w:eastAsia="仿宋_GB2312" w:hAnsi="Times New Roman" w:cs="Times New Roman" w:hint="eastAsia"/>
          <w:sz w:val="24"/>
          <w:szCs w:val="24"/>
        </w:rPr>
        <w:t>等国内外重要刊物上发表了</w:t>
      </w:r>
      <w:r>
        <w:rPr>
          <w:rFonts w:ascii="Times New Roman" w:eastAsia="仿宋_GB2312" w:hAnsi="Times New Roman" w:cs="Times New Roman"/>
          <w:sz w:val="24"/>
          <w:szCs w:val="24"/>
        </w:rPr>
        <w:t>6</w:t>
      </w:r>
      <w:r>
        <w:rPr>
          <w:rFonts w:ascii="Times New Roman" w:eastAsia="仿宋_GB2312" w:hAnsi="Times New Roman" w:cs="Times New Roman" w:hint="eastAsia"/>
          <w:sz w:val="24"/>
          <w:szCs w:val="24"/>
        </w:rPr>
        <w:t>0</w:t>
      </w:r>
      <w:r>
        <w:rPr>
          <w:rFonts w:ascii="Times New Roman" w:eastAsia="仿宋_GB2312" w:hAnsi="Times New Roman" w:cs="Times New Roman" w:hint="eastAsia"/>
          <w:sz w:val="24"/>
          <w:szCs w:val="24"/>
        </w:rPr>
        <w:t>余篇学术论文。同时，经济学系结合本学科的特点，为各级政府、各类企业以及银行、证券、保险、企业财务等部门提供政策建议或咨询、培训等服务，赢得了良好的声誉。多位教授的研究报告多次入选《成果要报》，研究成果获得了国家领导人和广东省领导的批示。</w:t>
      </w:r>
    </w:p>
    <w:p w:rsidR="004106D1" w:rsidRDefault="004106D1" w:rsidP="00DA7245">
      <w:pPr>
        <w:spacing w:line="360" w:lineRule="auto"/>
        <w:rPr>
          <w:rFonts w:ascii="Times New Roman" w:eastAsia="仿宋_GB2312" w:hAnsi="Times New Roman" w:cs="Times New Roman"/>
          <w:sz w:val="24"/>
          <w:szCs w:val="24"/>
        </w:rPr>
      </w:pPr>
    </w:p>
    <w:p w:rsidR="004106D1" w:rsidRDefault="0022483A" w:rsidP="00DA7245">
      <w:pPr>
        <w:spacing w:line="360" w:lineRule="auto"/>
        <w:jc w:val="left"/>
        <w:rPr>
          <w:rFonts w:ascii="Times New Roman" w:eastAsia="仿宋_GB2312" w:hAnsi="Times New Roman" w:cs="Times New Roman"/>
          <w:b/>
          <w:sz w:val="24"/>
          <w:szCs w:val="24"/>
        </w:rPr>
      </w:pPr>
      <w:r>
        <w:rPr>
          <w:rFonts w:ascii="Times New Roman" w:eastAsia="仿宋_GB2312" w:hAnsi="Times New Roman" w:cs="Times New Roman" w:hint="eastAsia"/>
          <w:b/>
          <w:sz w:val="24"/>
          <w:szCs w:val="24"/>
        </w:rPr>
        <w:t>6</w:t>
      </w:r>
      <w:r>
        <w:rPr>
          <w:rFonts w:ascii="Times New Roman" w:eastAsia="仿宋_GB2312" w:hAnsi="Times New Roman" w:cs="Times New Roman" w:hint="eastAsia"/>
          <w:b/>
          <w:sz w:val="24"/>
          <w:szCs w:val="24"/>
        </w:rPr>
        <w:t>、教学条件</w:t>
      </w:r>
    </w:p>
    <w:p w:rsidR="004106D1" w:rsidRDefault="0022483A" w:rsidP="00DA7245">
      <w:pPr>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学院建</w:t>
      </w:r>
      <w:r>
        <w:rPr>
          <w:rFonts w:ascii="Times New Roman" w:eastAsia="仿宋_GB2312" w:hAnsi="Times New Roman" w:cs="Times New Roman"/>
          <w:sz w:val="24"/>
          <w:szCs w:val="24"/>
        </w:rPr>
        <w:t>有</w:t>
      </w:r>
      <w:r>
        <w:rPr>
          <w:rFonts w:ascii="Times New Roman" w:eastAsia="仿宋_GB2312" w:hAnsi="Times New Roman" w:cs="Times New Roman" w:hint="eastAsia"/>
          <w:sz w:val="24"/>
          <w:szCs w:val="24"/>
        </w:rPr>
        <w:t>经济管理国家级实验教学示范中心（中山大学），设置实验室有：金融科技与金融工程实验室、大数据与人工智能实验室、企业经营模拟与计算机仿真实验室、行为经济学实验室、计量经济实验室、物流与供应链管理实验室。实验室使用面积共</w:t>
      </w:r>
      <w:r>
        <w:rPr>
          <w:rFonts w:ascii="Times New Roman" w:eastAsia="仿宋_GB2312" w:hAnsi="Times New Roman" w:cs="Times New Roman"/>
          <w:sz w:val="24"/>
          <w:szCs w:val="24"/>
        </w:rPr>
        <w:t>820</w:t>
      </w:r>
      <w:r>
        <w:rPr>
          <w:rFonts w:ascii="Times New Roman" w:eastAsia="仿宋_GB2312" w:hAnsi="Times New Roman" w:cs="Times New Roman"/>
          <w:sz w:val="24"/>
          <w:szCs w:val="24"/>
        </w:rPr>
        <w:t>平方米，有各类高性能服务器</w:t>
      </w:r>
      <w:r>
        <w:rPr>
          <w:rFonts w:ascii="Times New Roman" w:eastAsia="仿宋_GB2312" w:hAnsi="Times New Roman" w:cs="Times New Roman"/>
          <w:sz w:val="24"/>
          <w:szCs w:val="24"/>
        </w:rPr>
        <w:t>50</w:t>
      </w:r>
      <w:r>
        <w:rPr>
          <w:rFonts w:ascii="Times New Roman" w:eastAsia="仿宋_GB2312" w:hAnsi="Times New Roman" w:cs="Times New Roman"/>
          <w:sz w:val="24"/>
          <w:szCs w:val="24"/>
        </w:rPr>
        <w:t>多台、计算机</w:t>
      </w:r>
      <w:r>
        <w:rPr>
          <w:rFonts w:ascii="Times New Roman" w:eastAsia="仿宋_GB2312" w:hAnsi="Times New Roman" w:cs="Times New Roman"/>
          <w:sz w:val="24"/>
          <w:szCs w:val="24"/>
        </w:rPr>
        <w:t>200</w:t>
      </w:r>
      <w:r>
        <w:rPr>
          <w:rFonts w:ascii="Times New Roman" w:eastAsia="仿宋_GB2312" w:hAnsi="Times New Roman" w:cs="Times New Roman"/>
          <w:sz w:val="24"/>
          <w:szCs w:val="24"/>
        </w:rPr>
        <w:t>台和正版软件</w:t>
      </w:r>
      <w:r w:rsidR="002D006A">
        <w:rPr>
          <w:rFonts w:ascii="Times New Roman" w:eastAsia="仿宋_GB2312" w:hAnsi="Times New Roman" w:cs="Times New Roman" w:hint="eastAsia"/>
          <w:sz w:val="24"/>
          <w:szCs w:val="24"/>
        </w:rPr>
        <w:t>STATA</w:t>
      </w:r>
      <w:r w:rsidR="002D006A">
        <w:rPr>
          <w:rFonts w:ascii="Times New Roman" w:eastAsia="仿宋_GB2312" w:hAnsi="Times New Roman" w:cs="Times New Roman" w:hint="eastAsia"/>
          <w:sz w:val="24"/>
          <w:szCs w:val="24"/>
        </w:rPr>
        <w:t>、</w:t>
      </w:r>
      <w:r w:rsidR="002D006A">
        <w:rPr>
          <w:rFonts w:ascii="Times New Roman" w:eastAsia="仿宋_GB2312" w:hAnsi="Times New Roman" w:cs="Times New Roman" w:hint="eastAsia"/>
          <w:sz w:val="24"/>
          <w:szCs w:val="24"/>
        </w:rPr>
        <w:t>SPSS</w:t>
      </w:r>
      <w:r>
        <w:rPr>
          <w:rFonts w:ascii="Times New Roman" w:eastAsia="仿宋_GB2312" w:hAnsi="Times New Roman" w:cs="Times New Roman"/>
          <w:sz w:val="24"/>
          <w:szCs w:val="24"/>
        </w:rPr>
        <w:t>、</w:t>
      </w:r>
      <w:r>
        <w:rPr>
          <w:rFonts w:ascii="Times New Roman" w:eastAsia="仿宋_GB2312" w:hAnsi="Times New Roman" w:cs="Times New Roman"/>
          <w:sz w:val="24"/>
          <w:szCs w:val="24"/>
        </w:rPr>
        <w:t>SAS</w:t>
      </w:r>
      <w:r>
        <w:rPr>
          <w:rFonts w:ascii="Times New Roman" w:eastAsia="仿宋_GB2312" w:hAnsi="Times New Roman" w:cs="Times New Roman"/>
          <w:sz w:val="24"/>
          <w:szCs w:val="24"/>
        </w:rPr>
        <w:t>等，设备资产总值超千万元。建成多个经济管理学科教学、科研共享平台：云实验教学平台、云存储平台、大数据分析平台、智</w:t>
      </w:r>
      <w:r>
        <w:rPr>
          <w:rFonts w:ascii="Times New Roman" w:eastAsia="仿宋_GB2312" w:hAnsi="Times New Roman" w:cs="Times New Roman"/>
          <w:sz w:val="24"/>
          <w:szCs w:val="24"/>
        </w:rPr>
        <w:lastRenderedPageBreak/>
        <w:t>能分析平台、计量实证研究平台等。</w:t>
      </w:r>
    </w:p>
    <w:p w:rsidR="004106D1" w:rsidRDefault="0022483A" w:rsidP="00DA7245">
      <w:pPr>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实习方面，毕业前一年的暑期鼓励同学进行暑期实习。学院积极为同学搭建与雇主间的平台，如暑期实习招聘会、宣讲会及校园面试笔试等，绝大部分同学在毕业前都会有社会实践经历，很多同学还到业界顶尖公司进行实习，如中金、广发证券、贝恩咨询、罗兰贝格咨询、</w:t>
      </w:r>
      <w:r>
        <w:rPr>
          <w:rFonts w:ascii="Times New Roman" w:eastAsia="仿宋_GB2312" w:hAnsi="Times New Roman" w:cs="Times New Roman"/>
          <w:sz w:val="24"/>
          <w:szCs w:val="24"/>
        </w:rPr>
        <w:t>IBM</w:t>
      </w:r>
      <w:r>
        <w:rPr>
          <w:rFonts w:ascii="Times New Roman" w:eastAsia="仿宋_GB2312" w:hAnsi="Times New Roman" w:cs="Times New Roman"/>
          <w:sz w:val="24"/>
          <w:szCs w:val="24"/>
        </w:rPr>
        <w:t>、腾讯、百度、万科地产</w:t>
      </w:r>
      <w:r>
        <w:rPr>
          <w:rFonts w:ascii="Times New Roman" w:eastAsia="仿宋_GB2312" w:hAnsi="Times New Roman" w:cs="Times New Roman" w:hint="eastAsia"/>
          <w:sz w:val="24"/>
          <w:szCs w:val="24"/>
        </w:rPr>
        <w:t>、政府部门</w:t>
      </w:r>
      <w:r>
        <w:rPr>
          <w:rFonts w:ascii="Times New Roman" w:eastAsia="仿宋_GB2312" w:hAnsi="Times New Roman" w:cs="Times New Roman"/>
          <w:sz w:val="24"/>
          <w:szCs w:val="24"/>
        </w:rPr>
        <w:t>等。</w:t>
      </w:r>
    </w:p>
    <w:p w:rsidR="004106D1" w:rsidRDefault="004106D1" w:rsidP="00DA7245">
      <w:pPr>
        <w:spacing w:line="360" w:lineRule="auto"/>
        <w:rPr>
          <w:rFonts w:ascii="Times New Roman" w:eastAsia="仿宋_GB2312" w:hAnsi="Times New Roman" w:cs="Times New Roman"/>
          <w:sz w:val="24"/>
          <w:szCs w:val="24"/>
        </w:rPr>
      </w:pPr>
    </w:p>
    <w:p w:rsidR="004106D1" w:rsidRPr="00674B2D" w:rsidRDefault="0022483A" w:rsidP="00DA7245">
      <w:pPr>
        <w:spacing w:line="360" w:lineRule="auto"/>
        <w:rPr>
          <w:rFonts w:ascii="华文中宋" w:eastAsia="华文中宋" w:hAnsi="华文中宋"/>
          <w:b/>
          <w:sz w:val="28"/>
          <w:szCs w:val="28"/>
        </w:rPr>
      </w:pPr>
      <w:r w:rsidRPr="00674B2D">
        <w:rPr>
          <w:rFonts w:ascii="华文中宋" w:eastAsia="华文中宋" w:hAnsi="华文中宋" w:hint="eastAsia"/>
          <w:b/>
          <w:sz w:val="28"/>
          <w:szCs w:val="28"/>
        </w:rPr>
        <w:t>二、经济学专业的其他信息</w:t>
      </w:r>
    </w:p>
    <w:p w:rsidR="004106D1" w:rsidRPr="00674B2D" w:rsidRDefault="0022483A" w:rsidP="00DA7245">
      <w:pPr>
        <w:spacing w:line="360" w:lineRule="auto"/>
        <w:jc w:val="left"/>
        <w:rPr>
          <w:rFonts w:ascii="Times New Roman" w:eastAsia="仿宋_GB2312" w:hAnsi="Times New Roman" w:cs="Times New Roman"/>
          <w:b/>
          <w:sz w:val="24"/>
          <w:szCs w:val="24"/>
        </w:rPr>
      </w:pPr>
      <w:r w:rsidRPr="00674B2D">
        <w:rPr>
          <w:rFonts w:ascii="Times New Roman" w:eastAsia="仿宋_GB2312" w:hAnsi="Times New Roman" w:cs="Times New Roman" w:hint="eastAsia"/>
          <w:b/>
          <w:sz w:val="24"/>
          <w:szCs w:val="24"/>
        </w:rPr>
        <w:t>1</w:t>
      </w:r>
      <w:r w:rsidRPr="00674B2D">
        <w:rPr>
          <w:rFonts w:ascii="Times New Roman" w:eastAsia="仿宋_GB2312" w:hAnsi="Times New Roman" w:cs="Times New Roman" w:hint="eastAsia"/>
          <w:b/>
          <w:sz w:val="24"/>
          <w:szCs w:val="24"/>
        </w:rPr>
        <w:t>、历史沿革</w:t>
      </w:r>
    </w:p>
    <w:p w:rsidR="004106D1" w:rsidRPr="00674B2D" w:rsidRDefault="0022483A" w:rsidP="00DA7245">
      <w:pPr>
        <w:spacing w:line="360" w:lineRule="auto"/>
        <w:ind w:firstLineChars="200" w:firstLine="480"/>
        <w:jc w:val="left"/>
        <w:rPr>
          <w:rFonts w:ascii="Times New Roman" w:eastAsia="仿宋_GB2312" w:hAnsi="Times New Roman" w:cs="Times New Roman"/>
          <w:sz w:val="24"/>
          <w:szCs w:val="24"/>
        </w:rPr>
      </w:pPr>
      <w:r w:rsidRPr="00674B2D">
        <w:rPr>
          <w:rFonts w:ascii="Times New Roman" w:eastAsia="仿宋_GB2312" w:hAnsi="Times New Roman" w:cs="Times New Roman" w:hint="eastAsia"/>
          <w:sz w:val="24"/>
          <w:szCs w:val="24"/>
        </w:rPr>
        <w:t>中山大学经济学专业有着悠久的历史。中山大学</w:t>
      </w:r>
      <w:r w:rsidRPr="00674B2D">
        <w:rPr>
          <w:rFonts w:ascii="Times New Roman" w:eastAsia="仿宋_GB2312" w:hAnsi="Times New Roman" w:cs="Times New Roman"/>
          <w:sz w:val="24"/>
          <w:szCs w:val="24"/>
        </w:rPr>
        <w:t>1924</w:t>
      </w:r>
      <w:r w:rsidRPr="00674B2D">
        <w:rPr>
          <w:rFonts w:ascii="Times New Roman" w:eastAsia="仿宋_GB2312" w:hAnsi="Times New Roman" w:cs="Times New Roman"/>
          <w:sz w:val="24"/>
          <w:szCs w:val="24"/>
        </w:rPr>
        <w:t>年成立，</w:t>
      </w:r>
      <w:r w:rsidRPr="00674B2D">
        <w:rPr>
          <w:rFonts w:ascii="Times New Roman" w:eastAsia="仿宋_GB2312" w:hAnsi="Times New Roman" w:cs="Times New Roman"/>
          <w:sz w:val="24"/>
          <w:szCs w:val="24"/>
        </w:rPr>
        <w:t>1925</w:t>
      </w:r>
      <w:r w:rsidRPr="00674B2D">
        <w:rPr>
          <w:rFonts w:ascii="Times New Roman" w:eastAsia="仿宋_GB2312" w:hAnsi="Times New Roman" w:cs="Times New Roman"/>
          <w:sz w:val="24"/>
          <w:szCs w:val="24"/>
        </w:rPr>
        <w:t>年设经济学系；岭南大学（</w:t>
      </w:r>
      <w:r w:rsidRPr="00674B2D">
        <w:rPr>
          <w:rFonts w:ascii="Times New Roman" w:eastAsia="仿宋_GB2312" w:hAnsi="Times New Roman" w:cs="Times New Roman"/>
          <w:sz w:val="24"/>
          <w:szCs w:val="24"/>
        </w:rPr>
        <w:t>1888</w:t>
      </w:r>
      <w:r w:rsidRPr="00674B2D">
        <w:rPr>
          <w:rFonts w:ascii="Times New Roman" w:eastAsia="仿宋_GB2312" w:hAnsi="Times New Roman" w:cs="Times New Roman"/>
          <w:sz w:val="24"/>
          <w:szCs w:val="24"/>
        </w:rPr>
        <w:t>年）经济学系有</w:t>
      </w:r>
      <w:r w:rsidRPr="00674B2D">
        <w:rPr>
          <w:rFonts w:ascii="Times New Roman" w:eastAsia="仿宋_GB2312" w:hAnsi="Times New Roman" w:cs="Times New Roman"/>
          <w:sz w:val="24"/>
          <w:szCs w:val="24"/>
        </w:rPr>
        <w:t>100</w:t>
      </w:r>
      <w:r w:rsidRPr="00674B2D">
        <w:rPr>
          <w:rFonts w:ascii="Times New Roman" w:eastAsia="仿宋_GB2312" w:hAnsi="Times New Roman" w:cs="Times New Roman"/>
          <w:sz w:val="24"/>
          <w:szCs w:val="24"/>
        </w:rPr>
        <w:t>余年。</w:t>
      </w:r>
      <w:r w:rsidRPr="00674B2D">
        <w:rPr>
          <w:rFonts w:ascii="Times New Roman" w:eastAsia="仿宋_GB2312" w:hAnsi="Times New Roman" w:cs="Times New Roman"/>
          <w:sz w:val="24"/>
          <w:szCs w:val="24"/>
        </w:rPr>
        <w:t>1972</w:t>
      </w:r>
      <w:r w:rsidRPr="00674B2D">
        <w:rPr>
          <w:rFonts w:ascii="Times New Roman" w:eastAsia="仿宋_GB2312" w:hAnsi="Times New Roman" w:cs="Times New Roman"/>
          <w:sz w:val="24"/>
          <w:szCs w:val="24"/>
        </w:rPr>
        <w:t>年，经济学系复办。</w:t>
      </w:r>
      <w:r w:rsidRPr="00674B2D">
        <w:rPr>
          <w:rFonts w:ascii="Times New Roman" w:eastAsia="仿宋_GB2312" w:hAnsi="Times New Roman" w:cs="Times New Roman"/>
          <w:sz w:val="24"/>
          <w:szCs w:val="24"/>
        </w:rPr>
        <w:t>1984</w:t>
      </w:r>
      <w:r w:rsidRPr="00674B2D">
        <w:rPr>
          <w:rFonts w:ascii="Times New Roman" w:eastAsia="仿宋_GB2312" w:hAnsi="Times New Roman" w:cs="Times New Roman"/>
          <w:sz w:val="24"/>
          <w:szCs w:val="24"/>
        </w:rPr>
        <w:t>年，获得政治经济学硕士学位授予权。</w:t>
      </w:r>
      <w:r w:rsidRPr="00674B2D">
        <w:rPr>
          <w:rFonts w:ascii="Times New Roman" w:eastAsia="仿宋_GB2312" w:hAnsi="Times New Roman" w:cs="Times New Roman"/>
          <w:sz w:val="24"/>
          <w:szCs w:val="24"/>
        </w:rPr>
        <w:t>1986</w:t>
      </w:r>
      <w:r w:rsidRPr="00674B2D">
        <w:rPr>
          <w:rFonts w:ascii="Times New Roman" w:eastAsia="仿宋_GB2312" w:hAnsi="Times New Roman" w:cs="Times New Roman"/>
          <w:sz w:val="24"/>
          <w:szCs w:val="24"/>
        </w:rPr>
        <w:t>年，经济学专业的世界经济方向等设立为国际经济与贸易专业等。</w:t>
      </w:r>
      <w:r w:rsidRPr="00674B2D">
        <w:rPr>
          <w:rFonts w:ascii="Times New Roman" w:eastAsia="仿宋_GB2312" w:hAnsi="Times New Roman" w:cs="Times New Roman" w:hint="eastAsia"/>
          <w:sz w:val="24"/>
          <w:szCs w:val="24"/>
        </w:rPr>
        <w:t>2</w:t>
      </w:r>
      <w:r w:rsidRPr="00674B2D">
        <w:rPr>
          <w:rFonts w:ascii="Times New Roman" w:eastAsia="仿宋_GB2312" w:hAnsi="Times New Roman" w:cs="Times New Roman"/>
          <w:sz w:val="24"/>
          <w:szCs w:val="24"/>
        </w:rPr>
        <w:t>016</w:t>
      </w:r>
      <w:r w:rsidRPr="00674B2D">
        <w:rPr>
          <w:rFonts w:ascii="Times New Roman" w:eastAsia="仿宋_GB2312" w:hAnsi="Times New Roman" w:cs="Times New Roman" w:hint="eastAsia"/>
          <w:sz w:val="24"/>
          <w:szCs w:val="24"/>
        </w:rPr>
        <w:t>年，从经济学专业派生出来的国际经济与贸易、财政学等专业回归，重新组合成现在的经济学专业</w:t>
      </w:r>
      <w:r w:rsidR="00180766" w:rsidRPr="00674B2D">
        <w:rPr>
          <w:rFonts w:ascii="Times New Roman" w:eastAsia="仿宋_GB2312" w:hAnsi="Times New Roman" w:cs="Times New Roman" w:hint="eastAsia"/>
          <w:sz w:val="24"/>
          <w:szCs w:val="24"/>
        </w:rPr>
        <w:t>，</w:t>
      </w:r>
      <w:r w:rsidRPr="00674B2D">
        <w:rPr>
          <w:rFonts w:ascii="Times New Roman" w:eastAsia="仿宋_GB2312" w:hAnsi="Times New Roman" w:cs="Times New Roman" w:hint="eastAsia"/>
          <w:sz w:val="24"/>
          <w:szCs w:val="24"/>
        </w:rPr>
        <w:t>使得中山大学经济学专业具有更宽广的学科内容和更具包容性的培养体系。</w:t>
      </w:r>
      <w:r w:rsidR="007B31DF" w:rsidRPr="00674B2D">
        <w:rPr>
          <w:rFonts w:ascii="Times New Roman" w:eastAsia="仿宋_GB2312" w:hAnsi="Times New Roman" w:cs="Times New Roman" w:hint="eastAsia"/>
          <w:sz w:val="24"/>
          <w:szCs w:val="24"/>
        </w:rPr>
        <w:t>2</w:t>
      </w:r>
      <w:r w:rsidR="007B31DF" w:rsidRPr="00674B2D">
        <w:rPr>
          <w:rFonts w:ascii="Times New Roman" w:eastAsia="仿宋_GB2312" w:hAnsi="Times New Roman" w:cs="Times New Roman"/>
          <w:sz w:val="24"/>
          <w:szCs w:val="24"/>
        </w:rPr>
        <w:t>019</w:t>
      </w:r>
      <w:r w:rsidR="007B31DF" w:rsidRPr="00674B2D">
        <w:rPr>
          <w:rFonts w:ascii="Times New Roman" w:eastAsia="仿宋_GB2312" w:hAnsi="Times New Roman" w:cs="Times New Roman" w:hint="eastAsia"/>
          <w:sz w:val="24"/>
          <w:szCs w:val="24"/>
        </w:rPr>
        <w:t>年</w:t>
      </w:r>
      <w:r w:rsidR="00674ABC" w:rsidRPr="00674B2D">
        <w:rPr>
          <w:rFonts w:ascii="Times New Roman" w:eastAsia="仿宋_GB2312" w:hAnsi="Times New Roman" w:cs="Times New Roman" w:hint="eastAsia"/>
          <w:sz w:val="24"/>
          <w:szCs w:val="24"/>
        </w:rPr>
        <w:t>，经济学入选国家级一流本科专业。</w:t>
      </w:r>
      <w:r w:rsidR="00180766" w:rsidRPr="00674B2D">
        <w:rPr>
          <w:rFonts w:ascii="Times New Roman" w:eastAsia="仿宋_GB2312" w:hAnsi="Times New Roman" w:cs="Times New Roman" w:hint="eastAsia"/>
          <w:sz w:val="24"/>
          <w:szCs w:val="24"/>
        </w:rPr>
        <w:t>2</w:t>
      </w:r>
      <w:r w:rsidR="00180766" w:rsidRPr="00674B2D">
        <w:rPr>
          <w:rFonts w:ascii="Times New Roman" w:eastAsia="仿宋_GB2312" w:hAnsi="Times New Roman" w:cs="Times New Roman"/>
          <w:sz w:val="24"/>
          <w:szCs w:val="24"/>
        </w:rPr>
        <w:t>021</w:t>
      </w:r>
      <w:r w:rsidR="00180766" w:rsidRPr="00674B2D">
        <w:rPr>
          <w:rFonts w:ascii="Times New Roman" w:eastAsia="仿宋_GB2312" w:hAnsi="Times New Roman" w:cs="Times New Roman" w:hint="eastAsia"/>
          <w:sz w:val="24"/>
          <w:szCs w:val="24"/>
        </w:rPr>
        <w:t>年获批教育部基础学科拔尖学生培养计划</w:t>
      </w:r>
      <w:r w:rsidR="00180766" w:rsidRPr="00674B2D">
        <w:rPr>
          <w:rFonts w:ascii="Times New Roman" w:eastAsia="仿宋_GB2312" w:hAnsi="Times New Roman" w:cs="Times New Roman"/>
          <w:sz w:val="24"/>
          <w:szCs w:val="24"/>
        </w:rPr>
        <w:t>2.0</w:t>
      </w:r>
      <w:r w:rsidR="00180766" w:rsidRPr="00674B2D">
        <w:rPr>
          <w:rFonts w:ascii="Times New Roman" w:eastAsia="仿宋_GB2312" w:hAnsi="Times New Roman" w:cs="Times New Roman" w:hint="eastAsia"/>
          <w:sz w:val="24"/>
          <w:szCs w:val="24"/>
        </w:rPr>
        <w:t>基地，培养兼具家国情怀和国际视野，掌握扎实的经济学理论和数据科学基础，具有批判性思维能力和创新精神，能够融合跨学科知识，在经济学领域勇攀世界学科高峰、引领文明进步的拔尖人才。</w:t>
      </w:r>
    </w:p>
    <w:p w:rsidR="004106D1" w:rsidRDefault="004106D1" w:rsidP="00DA7245">
      <w:pPr>
        <w:spacing w:line="360" w:lineRule="auto"/>
        <w:ind w:firstLineChars="200" w:firstLine="480"/>
        <w:jc w:val="left"/>
        <w:rPr>
          <w:rFonts w:ascii="仿宋" w:eastAsia="仿宋" w:hAnsi="仿宋" w:cs="Times New Roman"/>
          <w:bCs/>
          <w:sz w:val="24"/>
          <w:szCs w:val="24"/>
        </w:rPr>
      </w:pPr>
    </w:p>
    <w:p w:rsidR="004106D1" w:rsidRDefault="0022483A" w:rsidP="00DA7245">
      <w:pPr>
        <w:spacing w:line="360" w:lineRule="auto"/>
        <w:jc w:val="left"/>
        <w:rPr>
          <w:rFonts w:ascii="Times New Roman" w:eastAsia="仿宋_GB2312" w:hAnsi="Times New Roman" w:cs="Times New Roman"/>
          <w:b/>
          <w:sz w:val="24"/>
          <w:szCs w:val="24"/>
        </w:rPr>
      </w:pPr>
      <w:r>
        <w:rPr>
          <w:rFonts w:ascii="Times New Roman" w:eastAsia="仿宋_GB2312" w:hAnsi="Times New Roman" w:cs="Times New Roman" w:hint="eastAsia"/>
          <w:b/>
          <w:sz w:val="24"/>
          <w:szCs w:val="24"/>
        </w:rPr>
        <w:t>2</w:t>
      </w:r>
      <w:r>
        <w:rPr>
          <w:rFonts w:ascii="Times New Roman" w:eastAsia="仿宋_GB2312" w:hAnsi="Times New Roman" w:cs="Times New Roman" w:hint="eastAsia"/>
          <w:b/>
          <w:sz w:val="24"/>
          <w:szCs w:val="24"/>
        </w:rPr>
        <w:t>、专业排名</w:t>
      </w:r>
    </w:p>
    <w:p w:rsidR="004106D1" w:rsidRDefault="0022483A" w:rsidP="00DA7245">
      <w:pPr>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经济学系雄厚的综合实力也体现在排名中。在</w:t>
      </w:r>
      <w:r>
        <w:rPr>
          <w:rFonts w:ascii="Times New Roman" w:eastAsia="仿宋_GB2312" w:hAnsi="Times New Roman" w:cs="Times New Roman"/>
          <w:sz w:val="24"/>
          <w:szCs w:val="24"/>
        </w:rPr>
        <w:t>2020</w:t>
      </w:r>
      <w:r>
        <w:rPr>
          <w:rFonts w:ascii="Times New Roman" w:eastAsia="仿宋_GB2312" w:hAnsi="Times New Roman" w:cs="Times New Roman" w:hint="eastAsia"/>
          <w:sz w:val="24"/>
          <w:szCs w:val="24"/>
        </w:rPr>
        <w:t>年</w:t>
      </w:r>
      <w:r>
        <w:rPr>
          <w:rFonts w:ascii="Times New Roman" w:eastAsia="仿宋_GB2312" w:hAnsi="Times New Roman" w:cs="Times New Roman"/>
          <w:sz w:val="24"/>
          <w:szCs w:val="24"/>
        </w:rPr>
        <w:t>QS</w:t>
      </w:r>
      <w:r>
        <w:rPr>
          <w:rFonts w:ascii="Times New Roman" w:eastAsia="仿宋_GB2312" w:hAnsi="Times New Roman" w:cs="Times New Roman" w:hint="eastAsia"/>
          <w:sz w:val="24"/>
          <w:szCs w:val="24"/>
        </w:rPr>
        <w:t>世界大学</w:t>
      </w:r>
      <w:r>
        <w:rPr>
          <w:rFonts w:ascii="Times New Roman" w:eastAsia="仿宋_GB2312" w:hAnsi="Times New Roman" w:cs="Times New Roman"/>
          <w:sz w:val="24"/>
          <w:szCs w:val="24"/>
        </w:rPr>
        <w:t>经济学与计量经济学专业排名</w:t>
      </w:r>
      <w:r>
        <w:rPr>
          <w:rFonts w:ascii="Times New Roman" w:eastAsia="仿宋_GB2312" w:hAnsi="Times New Roman" w:cs="Times New Roman" w:hint="eastAsia"/>
          <w:sz w:val="24"/>
          <w:szCs w:val="24"/>
        </w:rPr>
        <w:t>（</w:t>
      </w:r>
      <w:r>
        <w:rPr>
          <w:rFonts w:ascii="Times New Roman" w:eastAsia="仿宋_GB2312" w:hAnsi="Times New Roman" w:cs="Times New Roman"/>
          <w:sz w:val="24"/>
          <w:szCs w:val="24"/>
        </w:rPr>
        <w:t>Economics and Econometrics</w:t>
      </w:r>
      <w:r>
        <w:rPr>
          <w:rFonts w:ascii="Times New Roman" w:eastAsia="仿宋_GB2312" w:hAnsi="Times New Roman" w:cs="Times New Roman" w:hint="eastAsia"/>
          <w:sz w:val="24"/>
          <w:szCs w:val="24"/>
        </w:rPr>
        <w:t>）中，中山大学经济学位列中国内地高校第</w:t>
      </w:r>
      <w:r>
        <w:rPr>
          <w:rFonts w:ascii="Times New Roman" w:eastAsia="仿宋_GB2312" w:hAnsi="Times New Roman" w:cs="Times New Roman"/>
          <w:sz w:val="24"/>
          <w:szCs w:val="24"/>
        </w:rPr>
        <w:t>9</w:t>
      </w:r>
      <w:r>
        <w:rPr>
          <w:rFonts w:ascii="Times New Roman" w:eastAsia="仿宋_GB2312" w:hAnsi="Times New Roman" w:cs="Times New Roman" w:hint="eastAsia"/>
          <w:sz w:val="24"/>
          <w:szCs w:val="24"/>
        </w:rPr>
        <w:t>位。</w:t>
      </w:r>
    </w:p>
    <w:p w:rsidR="004106D1" w:rsidRDefault="004106D1" w:rsidP="00DA7245">
      <w:pPr>
        <w:spacing w:line="360" w:lineRule="auto"/>
        <w:ind w:firstLineChars="200" w:firstLine="480"/>
        <w:rPr>
          <w:rFonts w:ascii="Times New Roman" w:eastAsia="仿宋_GB2312" w:hAnsi="Times New Roman" w:cs="Times New Roman"/>
          <w:sz w:val="24"/>
          <w:szCs w:val="24"/>
        </w:rPr>
      </w:pPr>
    </w:p>
    <w:p w:rsidR="004106D1" w:rsidRDefault="0022483A" w:rsidP="00DA7245">
      <w:pPr>
        <w:spacing w:line="360" w:lineRule="auto"/>
        <w:jc w:val="left"/>
        <w:rPr>
          <w:rFonts w:ascii="Times New Roman" w:eastAsia="仿宋_GB2312" w:hAnsi="Times New Roman" w:cs="Times New Roman"/>
          <w:b/>
          <w:sz w:val="24"/>
          <w:szCs w:val="24"/>
        </w:rPr>
      </w:pPr>
      <w:r>
        <w:rPr>
          <w:rFonts w:ascii="Times New Roman" w:eastAsia="仿宋_GB2312" w:hAnsi="Times New Roman" w:cs="Times New Roman" w:hint="eastAsia"/>
          <w:b/>
          <w:sz w:val="24"/>
          <w:szCs w:val="24"/>
        </w:rPr>
        <w:t>3</w:t>
      </w:r>
      <w:r>
        <w:rPr>
          <w:rFonts w:ascii="Times New Roman" w:eastAsia="仿宋_GB2312" w:hAnsi="Times New Roman" w:cs="Times New Roman" w:hint="eastAsia"/>
          <w:b/>
          <w:sz w:val="24"/>
          <w:szCs w:val="24"/>
        </w:rPr>
        <w:t>、</w:t>
      </w:r>
      <w:r>
        <w:rPr>
          <w:rFonts w:ascii="Times New Roman" w:eastAsia="仿宋_GB2312" w:hAnsi="Times New Roman" w:cs="Times New Roman"/>
          <w:b/>
          <w:sz w:val="24"/>
          <w:szCs w:val="24"/>
        </w:rPr>
        <w:t>毕业生质量</w:t>
      </w:r>
    </w:p>
    <w:p w:rsidR="004106D1" w:rsidRDefault="0022483A" w:rsidP="00DA7245">
      <w:pPr>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我院本科毕业生毕业去向主要为</w:t>
      </w:r>
      <w:r w:rsidR="00D657EA">
        <w:rPr>
          <w:rFonts w:ascii="Times New Roman" w:eastAsia="仿宋_GB2312" w:hAnsi="Times New Roman" w:cs="Times New Roman" w:hint="eastAsia"/>
          <w:sz w:val="24"/>
          <w:szCs w:val="24"/>
        </w:rPr>
        <w:t>深造</w:t>
      </w:r>
      <w:r>
        <w:rPr>
          <w:rFonts w:ascii="Times New Roman" w:eastAsia="仿宋_GB2312" w:hAnsi="Times New Roman" w:cs="Times New Roman" w:hint="eastAsia"/>
          <w:sz w:val="24"/>
          <w:szCs w:val="24"/>
        </w:rPr>
        <w:t>和</w:t>
      </w:r>
      <w:r w:rsidR="00D657EA">
        <w:rPr>
          <w:rFonts w:ascii="Times New Roman" w:eastAsia="仿宋_GB2312" w:hAnsi="Times New Roman" w:cs="Times New Roman" w:hint="eastAsia"/>
          <w:sz w:val="24"/>
          <w:szCs w:val="24"/>
        </w:rPr>
        <w:t>就业</w:t>
      </w:r>
      <w:r>
        <w:rPr>
          <w:rFonts w:ascii="Times New Roman" w:eastAsia="仿宋_GB2312" w:hAnsi="Times New Roman" w:cs="Times New Roman" w:hint="eastAsia"/>
          <w:sz w:val="24"/>
          <w:szCs w:val="24"/>
        </w:rPr>
        <w:t>两个方向。</w:t>
      </w:r>
    </w:p>
    <w:p w:rsidR="004106D1" w:rsidRDefault="0022483A" w:rsidP="00DA7245">
      <w:pPr>
        <w:spacing w:line="360"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2019</w:t>
      </w:r>
      <w:r>
        <w:rPr>
          <w:rFonts w:ascii="Times New Roman" w:eastAsia="仿宋_GB2312" w:hAnsi="Times New Roman" w:cs="Times New Roman"/>
          <w:sz w:val="24"/>
          <w:szCs w:val="24"/>
        </w:rPr>
        <w:t>年我院本科</w:t>
      </w:r>
      <w:bookmarkStart w:id="0" w:name="_GoBack"/>
      <w:bookmarkEnd w:id="0"/>
      <w:r w:rsidR="00674B2D">
        <w:rPr>
          <w:rFonts w:ascii="Times New Roman" w:eastAsia="仿宋_GB2312" w:hAnsi="Times New Roman" w:cs="Times New Roman"/>
          <w:sz w:val="24"/>
          <w:szCs w:val="24"/>
        </w:rPr>
        <w:t>毕业共</w:t>
      </w:r>
      <w:r>
        <w:rPr>
          <w:rFonts w:ascii="Times New Roman" w:eastAsia="仿宋_GB2312" w:hAnsi="Times New Roman" w:cs="Times New Roman"/>
          <w:sz w:val="24"/>
          <w:szCs w:val="24"/>
        </w:rPr>
        <w:t>280</w:t>
      </w:r>
      <w:r>
        <w:rPr>
          <w:rFonts w:ascii="Times New Roman" w:eastAsia="仿宋_GB2312" w:hAnsi="Times New Roman" w:cs="Times New Roman"/>
          <w:sz w:val="24"/>
          <w:szCs w:val="24"/>
        </w:rPr>
        <w:t>人，其中</w:t>
      </w:r>
      <w:r w:rsidR="00DA7245" w:rsidRPr="00674B2D">
        <w:rPr>
          <w:rFonts w:ascii="Times New Roman" w:eastAsia="仿宋_GB2312" w:hAnsi="Times New Roman" w:cs="Times New Roman"/>
          <w:sz w:val="24"/>
          <w:szCs w:val="24"/>
        </w:rPr>
        <w:t>经济学专业</w:t>
      </w:r>
      <w:r w:rsidR="00674B2D">
        <w:rPr>
          <w:rFonts w:ascii="Times New Roman" w:eastAsia="仿宋_GB2312" w:hAnsi="Times New Roman" w:cs="Times New Roman" w:hint="eastAsia"/>
          <w:sz w:val="24"/>
          <w:szCs w:val="24"/>
        </w:rPr>
        <w:t>毕业</w:t>
      </w:r>
      <w:r>
        <w:rPr>
          <w:rFonts w:ascii="Times New Roman" w:eastAsia="仿宋_GB2312" w:hAnsi="Times New Roman" w:cs="Times New Roman"/>
          <w:sz w:val="24"/>
          <w:szCs w:val="24"/>
        </w:rPr>
        <w:t>生</w:t>
      </w:r>
      <w:r>
        <w:rPr>
          <w:rFonts w:ascii="Times New Roman" w:eastAsia="仿宋_GB2312" w:hAnsi="Times New Roman" w:cs="Times New Roman"/>
          <w:sz w:val="24"/>
          <w:szCs w:val="24"/>
        </w:rPr>
        <w:t>33</w:t>
      </w:r>
      <w:r>
        <w:rPr>
          <w:rFonts w:ascii="Times New Roman" w:eastAsia="仿宋_GB2312" w:hAnsi="Times New Roman" w:cs="Times New Roman"/>
          <w:sz w:val="24"/>
          <w:szCs w:val="24"/>
        </w:rPr>
        <w:t>人</w:t>
      </w:r>
      <w:r w:rsidR="00674B2D">
        <w:rPr>
          <w:rFonts w:ascii="Times New Roman" w:eastAsia="仿宋_GB2312" w:hAnsi="Times New Roman" w:cs="Times New Roman" w:hint="eastAsia"/>
          <w:sz w:val="24"/>
          <w:szCs w:val="24"/>
        </w:rPr>
        <w:t>，</w:t>
      </w:r>
      <w:r>
        <w:rPr>
          <w:rFonts w:ascii="Times New Roman" w:eastAsia="仿宋_GB2312" w:hAnsi="Times New Roman" w:cs="Times New Roman"/>
          <w:sz w:val="24"/>
          <w:szCs w:val="24"/>
        </w:rPr>
        <w:t>有</w:t>
      </w:r>
      <w:r>
        <w:rPr>
          <w:rFonts w:ascii="Times New Roman" w:eastAsia="仿宋_GB2312" w:hAnsi="Times New Roman" w:cs="Times New Roman"/>
          <w:sz w:val="24"/>
          <w:szCs w:val="24"/>
        </w:rPr>
        <w:t>55%</w:t>
      </w:r>
      <w:r>
        <w:rPr>
          <w:rFonts w:ascii="Times New Roman" w:eastAsia="仿宋_GB2312" w:hAnsi="Times New Roman" w:cs="Times New Roman"/>
          <w:sz w:val="24"/>
          <w:szCs w:val="24"/>
        </w:rPr>
        <w:t>学生出国出境留学</w:t>
      </w:r>
      <w:r>
        <w:rPr>
          <w:rFonts w:ascii="Times New Roman" w:eastAsia="仿宋_GB2312" w:hAnsi="Times New Roman" w:cs="Times New Roman" w:hint="eastAsia"/>
          <w:sz w:val="24"/>
          <w:szCs w:val="24"/>
        </w:rPr>
        <w:t>，</w:t>
      </w:r>
      <w:r>
        <w:rPr>
          <w:rFonts w:ascii="Times New Roman" w:eastAsia="仿宋_GB2312" w:hAnsi="Times New Roman" w:cs="Times New Roman"/>
          <w:sz w:val="24"/>
          <w:szCs w:val="24"/>
        </w:rPr>
        <w:t>前往全球排名前</w:t>
      </w:r>
      <w:r>
        <w:rPr>
          <w:rFonts w:ascii="Times New Roman" w:eastAsia="仿宋_GB2312" w:hAnsi="Times New Roman" w:cs="Times New Roman"/>
          <w:sz w:val="24"/>
          <w:szCs w:val="24"/>
        </w:rPr>
        <w:t>100</w:t>
      </w:r>
      <w:r>
        <w:rPr>
          <w:rFonts w:ascii="Times New Roman" w:eastAsia="仿宋_GB2312" w:hAnsi="Times New Roman" w:cs="Times New Roman"/>
          <w:sz w:val="24"/>
          <w:szCs w:val="24"/>
        </w:rPr>
        <w:t>的高校深造</w:t>
      </w:r>
      <w:r>
        <w:rPr>
          <w:rFonts w:ascii="Times New Roman" w:eastAsia="仿宋_GB2312" w:hAnsi="Times New Roman" w:cs="Times New Roman" w:hint="eastAsia"/>
          <w:sz w:val="24"/>
          <w:szCs w:val="24"/>
        </w:rPr>
        <w:t>；</w:t>
      </w:r>
      <w:r>
        <w:rPr>
          <w:rFonts w:ascii="Times New Roman" w:eastAsia="仿宋_GB2312" w:hAnsi="Times New Roman" w:cs="Times New Roman" w:hint="eastAsia"/>
          <w:sz w:val="24"/>
          <w:szCs w:val="24"/>
        </w:rPr>
        <w:t>2</w:t>
      </w:r>
      <w:r>
        <w:rPr>
          <w:rFonts w:ascii="Times New Roman" w:eastAsia="仿宋_GB2312" w:hAnsi="Times New Roman" w:cs="Times New Roman"/>
          <w:sz w:val="24"/>
          <w:szCs w:val="24"/>
        </w:rPr>
        <w:t>4%</w:t>
      </w:r>
      <w:r>
        <w:rPr>
          <w:rFonts w:ascii="Times New Roman" w:eastAsia="仿宋_GB2312" w:hAnsi="Times New Roman" w:cs="Times New Roman"/>
          <w:sz w:val="24"/>
          <w:szCs w:val="24"/>
        </w:rPr>
        <w:t>的学生</w:t>
      </w:r>
      <w:r>
        <w:rPr>
          <w:rFonts w:ascii="Times New Roman" w:eastAsia="仿宋_GB2312" w:hAnsi="Times New Roman" w:cs="Times New Roman" w:hint="eastAsia"/>
          <w:sz w:val="24"/>
          <w:szCs w:val="24"/>
        </w:rPr>
        <w:t>在</w:t>
      </w:r>
      <w:r>
        <w:rPr>
          <w:rFonts w:ascii="Times New Roman" w:eastAsia="仿宋_GB2312" w:hAnsi="Times New Roman" w:cs="Times New Roman"/>
          <w:sz w:val="24"/>
          <w:szCs w:val="24"/>
        </w:rPr>
        <w:t>境内</w:t>
      </w:r>
      <w:r w:rsidR="006E1984">
        <w:rPr>
          <w:rFonts w:ascii="Times New Roman" w:eastAsia="仿宋_GB2312" w:hAnsi="Times New Roman" w:cs="Times New Roman" w:hint="eastAsia"/>
          <w:sz w:val="24"/>
          <w:szCs w:val="24"/>
        </w:rPr>
        <w:t>“</w:t>
      </w:r>
      <w:r>
        <w:rPr>
          <w:rFonts w:ascii="Times New Roman" w:eastAsia="仿宋_GB2312" w:hAnsi="Times New Roman" w:cs="Times New Roman"/>
          <w:sz w:val="24"/>
          <w:szCs w:val="24"/>
        </w:rPr>
        <w:t>双一流</w:t>
      </w:r>
      <w:r w:rsidR="006E1984">
        <w:rPr>
          <w:rFonts w:ascii="Times New Roman" w:eastAsia="仿宋_GB2312" w:hAnsi="Times New Roman" w:cs="Times New Roman" w:hint="eastAsia"/>
          <w:sz w:val="24"/>
          <w:szCs w:val="24"/>
        </w:rPr>
        <w:t>”</w:t>
      </w:r>
      <w:r>
        <w:rPr>
          <w:rFonts w:ascii="Times New Roman" w:eastAsia="仿宋_GB2312" w:hAnsi="Times New Roman" w:cs="Times New Roman"/>
          <w:sz w:val="24"/>
          <w:szCs w:val="24"/>
        </w:rPr>
        <w:lastRenderedPageBreak/>
        <w:t>高校</w:t>
      </w:r>
      <w:r>
        <w:rPr>
          <w:rFonts w:ascii="Times New Roman" w:eastAsia="仿宋_GB2312" w:hAnsi="Times New Roman" w:cs="Times New Roman" w:hint="eastAsia"/>
          <w:sz w:val="24"/>
          <w:szCs w:val="24"/>
        </w:rPr>
        <w:t>读研或读博；</w:t>
      </w:r>
      <w:r>
        <w:rPr>
          <w:rFonts w:ascii="Times New Roman" w:eastAsia="仿宋_GB2312" w:hAnsi="Times New Roman" w:cs="Times New Roman"/>
          <w:sz w:val="24"/>
          <w:szCs w:val="24"/>
        </w:rPr>
        <w:t>6%</w:t>
      </w:r>
      <w:r>
        <w:rPr>
          <w:rFonts w:ascii="Times New Roman" w:eastAsia="仿宋_GB2312" w:hAnsi="Times New Roman" w:cs="Times New Roman"/>
          <w:sz w:val="24"/>
          <w:szCs w:val="24"/>
        </w:rPr>
        <w:t>的学生选择直接就业，</w:t>
      </w:r>
      <w:r>
        <w:rPr>
          <w:rFonts w:ascii="Times New Roman" w:eastAsia="仿宋_GB2312" w:hAnsi="Times New Roman" w:cs="Times New Roman" w:hint="eastAsia"/>
          <w:sz w:val="24"/>
          <w:szCs w:val="24"/>
        </w:rPr>
        <w:t>基本</w:t>
      </w:r>
      <w:r>
        <w:rPr>
          <w:rFonts w:ascii="Times New Roman" w:eastAsia="仿宋_GB2312" w:hAnsi="Times New Roman" w:cs="Times New Roman"/>
          <w:sz w:val="24"/>
          <w:szCs w:val="24"/>
        </w:rPr>
        <w:t>去向</w:t>
      </w:r>
      <w:r>
        <w:rPr>
          <w:rFonts w:ascii="Times New Roman" w:eastAsia="仿宋_GB2312" w:hAnsi="Times New Roman" w:cs="Times New Roman" w:hint="eastAsia"/>
          <w:sz w:val="24"/>
          <w:szCs w:val="24"/>
        </w:rPr>
        <w:t>是</w:t>
      </w:r>
      <w:r>
        <w:rPr>
          <w:rFonts w:ascii="Times New Roman" w:eastAsia="仿宋_GB2312" w:hAnsi="Times New Roman" w:cs="Times New Roman"/>
          <w:sz w:val="24"/>
          <w:szCs w:val="24"/>
        </w:rPr>
        <w:t>证券、资产管理、银行、互联网等行业</w:t>
      </w:r>
      <w:r>
        <w:rPr>
          <w:rFonts w:ascii="Times New Roman" w:eastAsia="仿宋_GB2312" w:hAnsi="Times New Roman" w:cs="Times New Roman" w:hint="eastAsia"/>
          <w:sz w:val="24"/>
          <w:szCs w:val="24"/>
        </w:rPr>
        <w:t>；</w:t>
      </w:r>
      <w:r>
        <w:rPr>
          <w:rFonts w:ascii="Times New Roman" w:eastAsia="仿宋_GB2312" w:hAnsi="Times New Roman" w:cs="Times New Roman" w:hint="eastAsia"/>
          <w:sz w:val="24"/>
          <w:szCs w:val="24"/>
        </w:rPr>
        <w:t>1</w:t>
      </w:r>
      <w:r>
        <w:rPr>
          <w:rFonts w:ascii="Times New Roman" w:eastAsia="仿宋_GB2312" w:hAnsi="Times New Roman" w:cs="Times New Roman"/>
          <w:sz w:val="24"/>
          <w:szCs w:val="24"/>
        </w:rPr>
        <w:t>5%</w:t>
      </w:r>
      <w:r>
        <w:rPr>
          <w:rFonts w:ascii="Times New Roman" w:eastAsia="仿宋_GB2312" w:hAnsi="Times New Roman" w:cs="Times New Roman" w:hint="eastAsia"/>
          <w:sz w:val="24"/>
          <w:szCs w:val="24"/>
        </w:rPr>
        <w:t>的学生考研或公务员。</w:t>
      </w:r>
    </w:p>
    <w:p w:rsidR="00C85C55" w:rsidRDefault="00C85C55" w:rsidP="00DA7245">
      <w:pPr>
        <w:spacing w:line="360" w:lineRule="auto"/>
        <w:ind w:firstLineChars="200" w:firstLine="480"/>
        <w:rPr>
          <w:rFonts w:ascii="Times New Roman" w:eastAsia="仿宋_GB2312" w:hAnsi="Times New Roman" w:cs="Times New Roman"/>
          <w:sz w:val="24"/>
          <w:szCs w:val="24"/>
        </w:rPr>
      </w:pPr>
      <w:r w:rsidRPr="005E34B9">
        <w:rPr>
          <w:rFonts w:ascii="Times New Roman" w:eastAsia="仿宋_GB2312" w:hAnsi="Times New Roman" w:cs="Times New Roman"/>
          <w:sz w:val="24"/>
          <w:szCs w:val="24"/>
        </w:rPr>
        <w:t>2020</w:t>
      </w:r>
      <w:r w:rsidRPr="005E34B9">
        <w:rPr>
          <w:rFonts w:ascii="Times New Roman" w:eastAsia="仿宋_GB2312" w:hAnsi="Times New Roman" w:cs="Times New Roman"/>
          <w:sz w:val="24"/>
          <w:szCs w:val="24"/>
        </w:rPr>
        <w:t>年我院本科毕业生</w:t>
      </w:r>
      <w:r w:rsidR="00674B2D" w:rsidRPr="005E34B9">
        <w:rPr>
          <w:rFonts w:ascii="Times New Roman" w:eastAsia="仿宋_GB2312" w:hAnsi="Times New Roman" w:cs="Times New Roman"/>
          <w:sz w:val="24"/>
          <w:szCs w:val="24"/>
        </w:rPr>
        <w:t>共</w:t>
      </w:r>
      <w:r w:rsidRPr="005E34B9">
        <w:rPr>
          <w:rFonts w:ascii="Times New Roman" w:eastAsia="仿宋_GB2312" w:hAnsi="Times New Roman" w:cs="Times New Roman"/>
          <w:sz w:val="24"/>
          <w:szCs w:val="24"/>
        </w:rPr>
        <w:t>292</w:t>
      </w:r>
      <w:r w:rsidRPr="005E34B9">
        <w:rPr>
          <w:rFonts w:ascii="Times New Roman" w:eastAsia="仿宋_GB2312" w:hAnsi="Times New Roman" w:cs="Times New Roman"/>
          <w:sz w:val="24"/>
          <w:szCs w:val="24"/>
        </w:rPr>
        <w:t>人，其中经济学专业</w:t>
      </w:r>
      <w:r w:rsidR="00674B2D">
        <w:rPr>
          <w:rFonts w:ascii="Times New Roman" w:eastAsia="仿宋_GB2312" w:hAnsi="Times New Roman" w:cs="Times New Roman" w:hint="eastAsia"/>
          <w:sz w:val="24"/>
          <w:szCs w:val="24"/>
        </w:rPr>
        <w:t>毕业</w:t>
      </w:r>
      <w:r w:rsidRPr="005E34B9">
        <w:rPr>
          <w:rFonts w:ascii="Times New Roman" w:eastAsia="仿宋_GB2312" w:hAnsi="Times New Roman" w:cs="Times New Roman"/>
          <w:sz w:val="24"/>
          <w:szCs w:val="24"/>
        </w:rPr>
        <w:t>生</w:t>
      </w:r>
      <w:r w:rsidRPr="005E34B9">
        <w:rPr>
          <w:rFonts w:ascii="Times New Roman" w:eastAsia="仿宋_GB2312" w:hAnsi="Times New Roman" w:cs="Times New Roman"/>
          <w:sz w:val="24"/>
          <w:szCs w:val="24"/>
        </w:rPr>
        <w:t>47</w:t>
      </w:r>
      <w:r w:rsidRPr="005E34B9">
        <w:rPr>
          <w:rFonts w:ascii="Times New Roman" w:eastAsia="仿宋_GB2312" w:hAnsi="Times New Roman" w:cs="Times New Roman"/>
          <w:sz w:val="24"/>
          <w:szCs w:val="24"/>
        </w:rPr>
        <w:t>人</w:t>
      </w:r>
      <w:r w:rsidR="00674B2D">
        <w:rPr>
          <w:rFonts w:ascii="Times New Roman" w:eastAsia="仿宋_GB2312" w:hAnsi="Times New Roman" w:cs="Times New Roman" w:hint="eastAsia"/>
          <w:sz w:val="24"/>
          <w:szCs w:val="24"/>
        </w:rPr>
        <w:t>，</w:t>
      </w:r>
      <w:r w:rsidRPr="005E34B9">
        <w:rPr>
          <w:rFonts w:ascii="Times New Roman" w:eastAsia="仿宋_GB2312" w:hAnsi="Times New Roman" w:cs="Times New Roman"/>
          <w:sz w:val="24"/>
          <w:szCs w:val="24"/>
        </w:rPr>
        <w:t>有</w:t>
      </w:r>
      <w:r w:rsidRPr="005E34B9">
        <w:rPr>
          <w:rFonts w:ascii="Times New Roman" w:eastAsia="仿宋_GB2312" w:hAnsi="Times New Roman" w:cs="Times New Roman"/>
          <w:sz w:val="24"/>
          <w:szCs w:val="24"/>
        </w:rPr>
        <w:t>68%</w:t>
      </w:r>
      <w:r w:rsidRPr="005E34B9">
        <w:rPr>
          <w:rFonts w:ascii="Times New Roman" w:eastAsia="仿宋_GB2312" w:hAnsi="Times New Roman" w:cs="Times New Roman"/>
          <w:sz w:val="24"/>
          <w:szCs w:val="24"/>
        </w:rPr>
        <w:t>的学生选择继续深造，其中出国出境留学的学生中有</w:t>
      </w:r>
      <w:r w:rsidRPr="005E34B9">
        <w:rPr>
          <w:rFonts w:ascii="Times New Roman" w:eastAsia="仿宋_GB2312" w:hAnsi="Times New Roman" w:cs="Times New Roman"/>
          <w:sz w:val="24"/>
          <w:szCs w:val="24"/>
        </w:rPr>
        <w:t>94%</w:t>
      </w:r>
      <w:r w:rsidRPr="005E34B9">
        <w:rPr>
          <w:rFonts w:ascii="Times New Roman" w:eastAsia="仿宋_GB2312" w:hAnsi="Times New Roman" w:cs="Times New Roman"/>
          <w:sz w:val="24"/>
          <w:szCs w:val="24"/>
        </w:rPr>
        <w:t>前往全球排名前</w:t>
      </w:r>
      <w:r w:rsidRPr="005E34B9">
        <w:rPr>
          <w:rFonts w:ascii="Times New Roman" w:eastAsia="仿宋_GB2312" w:hAnsi="Times New Roman" w:cs="Times New Roman"/>
          <w:sz w:val="24"/>
          <w:szCs w:val="24"/>
        </w:rPr>
        <w:t>100</w:t>
      </w:r>
      <w:r w:rsidRPr="005E34B9">
        <w:rPr>
          <w:rFonts w:ascii="Times New Roman" w:eastAsia="仿宋_GB2312" w:hAnsi="Times New Roman" w:cs="Times New Roman"/>
          <w:sz w:val="24"/>
          <w:szCs w:val="24"/>
        </w:rPr>
        <w:t>的高校深造，境内升学的学生近</w:t>
      </w:r>
      <w:r w:rsidRPr="005E34B9">
        <w:rPr>
          <w:rFonts w:ascii="Times New Roman" w:eastAsia="仿宋_GB2312" w:hAnsi="Times New Roman" w:cs="Times New Roman"/>
          <w:sz w:val="24"/>
          <w:szCs w:val="24"/>
        </w:rPr>
        <w:t>95%</w:t>
      </w:r>
      <w:r w:rsidRPr="005E34B9">
        <w:rPr>
          <w:rFonts w:ascii="Times New Roman" w:eastAsia="仿宋_GB2312" w:hAnsi="Times New Roman" w:cs="Times New Roman"/>
          <w:sz w:val="24"/>
          <w:szCs w:val="24"/>
        </w:rPr>
        <w:t>去往</w:t>
      </w:r>
      <w:r w:rsidR="001F1A9C">
        <w:rPr>
          <w:rFonts w:ascii="Times New Roman" w:eastAsia="仿宋_GB2312" w:hAnsi="Times New Roman" w:cs="Times New Roman" w:hint="eastAsia"/>
          <w:sz w:val="24"/>
          <w:szCs w:val="24"/>
        </w:rPr>
        <w:t>“</w:t>
      </w:r>
      <w:r w:rsidRPr="005E34B9">
        <w:rPr>
          <w:rFonts w:ascii="Times New Roman" w:eastAsia="仿宋_GB2312" w:hAnsi="Times New Roman" w:cs="Times New Roman"/>
          <w:sz w:val="24"/>
          <w:szCs w:val="24"/>
        </w:rPr>
        <w:t>双一流</w:t>
      </w:r>
      <w:r w:rsidR="001F1A9C">
        <w:rPr>
          <w:rFonts w:ascii="Times New Roman" w:eastAsia="仿宋_GB2312" w:hAnsi="Times New Roman" w:cs="Times New Roman" w:hint="eastAsia"/>
          <w:sz w:val="24"/>
          <w:szCs w:val="24"/>
        </w:rPr>
        <w:t>”</w:t>
      </w:r>
      <w:r w:rsidRPr="005E34B9">
        <w:rPr>
          <w:rFonts w:ascii="Times New Roman" w:eastAsia="仿宋_GB2312" w:hAnsi="Times New Roman" w:cs="Times New Roman"/>
          <w:sz w:val="24"/>
          <w:szCs w:val="24"/>
        </w:rPr>
        <w:t>高校。</w:t>
      </w:r>
      <w:r w:rsidRPr="005E34B9">
        <w:rPr>
          <w:rFonts w:ascii="Times New Roman" w:eastAsia="仿宋_GB2312" w:hAnsi="Times New Roman" w:cs="Times New Roman"/>
          <w:sz w:val="24"/>
          <w:szCs w:val="24"/>
        </w:rPr>
        <w:t>27%</w:t>
      </w:r>
      <w:r w:rsidRPr="005E34B9">
        <w:rPr>
          <w:rFonts w:ascii="Times New Roman" w:eastAsia="仿宋_GB2312" w:hAnsi="Times New Roman" w:cs="Times New Roman"/>
          <w:sz w:val="24"/>
          <w:szCs w:val="24"/>
        </w:rPr>
        <w:t>的学生选择直接就业，去向涵盖银行、互联网、政府及事业单位等多个行业。</w:t>
      </w:r>
    </w:p>
    <w:p w:rsidR="004106D1" w:rsidRDefault="004106D1" w:rsidP="00DA7245">
      <w:pPr>
        <w:spacing w:line="360" w:lineRule="auto"/>
      </w:pPr>
    </w:p>
    <w:sectPr w:rsidR="004106D1" w:rsidSect="00C217D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221" w:rsidRDefault="002E5221">
      <w:r>
        <w:separator/>
      </w:r>
    </w:p>
  </w:endnote>
  <w:endnote w:type="continuationSeparator" w:id="0">
    <w:p w:rsidR="002E5221" w:rsidRDefault="002E5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5007046"/>
      <w:docPartObj>
        <w:docPartGallery w:val="AutoText"/>
      </w:docPartObj>
    </w:sdtPr>
    <w:sdtEndPr/>
    <w:sdtContent>
      <w:p w:rsidR="004106D1" w:rsidRDefault="00C217D3">
        <w:pPr>
          <w:pStyle w:val="a5"/>
          <w:jc w:val="center"/>
        </w:pPr>
        <w:r>
          <w:fldChar w:fldCharType="begin"/>
        </w:r>
        <w:r w:rsidR="0022483A">
          <w:instrText>PAGE   \* MERGEFORMAT</w:instrText>
        </w:r>
        <w:r>
          <w:fldChar w:fldCharType="separate"/>
        </w:r>
        <w:r w:rsidR="008D450A" w:rsidRPr="008D450A">
          <w:rPr>
            <w:noProof/>
            <w:lang w:val="zh-CN"/>
          </w:rPr>
          <w:t>6</w:t>
        </w:r>
        <w:r>
          <w:fldChar w:fldCharType="end"/>
        </w:r>
      </w:p>
    </w:sdtContent>
  </w:sdt>
  <w:p w:rsidR="004106D1" w:rsidRDefault="004106D1">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221" w:rsidRDefault="002E5221">
      <w:r>
        <w:separator/>
      </w:r>
    </w:p>
  </w:footnote>
  <w:footnote w:type="continuationSeparator" w:id="0">
    <w:p w:rsidR="002E5221" w:rsidRDefault="002E52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004F2"/>
    <w:rsid w:val="00013EC8"/>
    <w:rsid w:val="000466A7"/>
    <w:rsid w:val="000A2410"/>
    <w:rsid w:val="000A5501"/>
    <w:rsid w:val="000A5829"/>
    <w:rsid w:val="000D0FF3"/>
    <w:rsid w:val="000E1B82"/>
    <w:rsid w:val="000F5419"/>
    <w:rsid w:val="001104E0"/>
    <w:rsid w:val="00115482"/>
    <w:rsid w:val="00127D81"/>
    <w:rsid w:val="00180766"/>
    <w:rsid w:val="001929B6"/>
    <w:rsid w:val="001C2EC0"/>
    <w:rsid w:val="001C57D4"/>
    <w:rsid w:val="001F1A9C"/>
    <w:rsid w:val="0022483A"/>
    <w:rsid w:val="002276B7"/>
    <w:rsid w:val="0025464E"/>
    <w:rsid w:val="002745C6"/>
    <w:rsid w:val="0028724B"/>
    <w:rsid w:val="002B3E80"/>
    <w:rsid w:val="002D006A"/>
    <w:rsid w:val="002E5221"/>
    <w:rsid w:val="003256D5"/>
    <w:rsid w:val="003562DD"/>
    <w:rsid w:val="003567B7"/>
    <w:rsid w:val="0036183C"/>
    <w:rsid w:val="003B1AD6"/>
    <w:rsid w:val="003C2286"/>
    <w:rsid w:val="003F0858"/>
    <w:rsid w:val="004106D1"/>
    <w:rsid w:val="00443EDA"/>
    <w:rsid w:val="004456DB"/>
    <w:rsid w:val="0048009F"/>
    <w:rsid w:val="004A29BD"/>
    <w:rsid w:val="004D073B"/>
    <w:rsid w:val="004E31A0"/>
    <w:rsid w:val="00520037"/>
    <w:rsid w:val="00525C0D"/>
    <w:rsid w:val="005402FE"/>
    <w:rsid w:val="00545B72"/>
    <w:rsid w:val="00554AD8"/>
    <w:rsid w:val="00577473"/>
    <w:rsid w:val="005830BC"/>
    <w:rsid w:val="005D2B86"/>
    <w:rsid w:val="005E1236"/>
    <w:rsid w:val="005E34B9"/>
    <w:rsid w:val="006004F2"/>
    <w:rsid w:val="0062074D"/>
    <w:rsid w:val="006444B5"/>
    <w:rsid w:val="00651E13"/>
    <w:rsid w:val="00674ABC"/>
    <w:rsid w:val="00674B2D"/>
    <w:rsid w:val="006B4018"/>
    <w:rsid w:val="006E1984"/>
    <w:rsid w:val="007040FC"/>
    <w:rsid w:val="00754290"/>
    <w:rsid w:val="00761999"/>
    <w:rsid w:val="00790957"/>
    <w:rsid w:val="007B31DF"/>
    <w:rsid w:val="007F05FD"/>
    <w:rsid w:val="00816A44"/>
    <w:rsid w:val="008235E2"/>
    <w:rsid w:val="0084737F"/>
    <w:rsid w:val="00862AA7"/>
    <w:rsid w:val="008636D0"/>
    <w:rsid w:val="00896B4E"/>
    <w:rsid w:val="008B5A55"/>
    <w:rsid w:val="008D450A"/>
    <w:rsid w:val="009367FC"/>
    <w:rsid w:val="00975085"/>
    <w:rsid w:val="00996AE0"/>
    <w:rsid w:val="009B174C"/>
    <w:rsid w:val="009F6CCB"/>
    <w:rsid w:val="00A155F9"/>
    <w:rsid w:val="00A60889"/>
    <w:rsid w:val="00AA6F93"/>
    <w:rsid w:val="00AC7AB9"/>
    <w:rsid w:val="00AE7858"/>
    <w:rsid w:val="00B5087E"/>
    <w:rsid w:val="00B95085"/>
    <w:rsid w:val="00C04AC0"/>
    <w:rsid w:val="00C04C4F"/>
    <w:rsid w:val="00C146B6"/>
    <w:rsid w:val="00C217D3"/>
    <w:rsid w:val="00C42B22"/>
    <w:rsid w:val="00C6063E"/>
    <w:rsid w:val="00C85C55"/>
    <w:rsid w:val="00C964D7"/>
    <w:rsid w:val="00CC1101"/>
    <w:rsid w:val="00CC28DF"/>
    <w:rsid w:val="00CF708E"/>
    <w:rsid w:val="00D14B55"/>
    <w:rsid w:val="00D5671D"/>
    <w:rsid w:val="00D657EA"/>
    <w:rsid w:val="00D72650"/>
    <w:rsid w:val="00D93D86"/>
    <w:rsid w:val="00DA1971"/>
    <w:rsid w:val="00DA666F"/>
    <w:rsid w:val="00DA7245"/>
    <w:rsid w:val="00DD5E04"/>
    <w:rsid w:val="00DE6DC4"/>
    <w:rsid w:val="00E33B9D"/>
    <w:rsid w:val="00EA17D5"/>
    <w:rsid w:val="00ED3ABB"/>
    <w:rsid w:val="00F57589"/>
    <w:rsid w:val="00F57F62"/>
    <w:rsid w:val="00F773E4"/>
    <w:rsid w:val="00F8699A"/>
    <w:rsid w:val="00F91298"/>
    <w:rsid w:val="00FC5AEE"/>
    <w:rsid w:val="00FD7395"/>
    <w:rsid w:val="28E248ED"/>
    <w:rsid w:val="43BE59E0"/>
    <w:rsid w:val="716047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0856B3-66F2-4F32-9557-55769D55B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17D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217D3"/>
    <w:rPr>
      <w:sz w:val="18"/>
      <w:szCs w:val="18"/>
    </w:rPr>
  </w:style>
  <w:style w:type="paragraph" w:styleId="a5">
    <w:name w:val="footer"/>
    <w:basedOn w:val="a"/>
    <w:link w:val="a6"/>
    <w:uiPriority w:val="99"/>
    <w:unhideWhenUsed/>
    <w:rsid w:val="00C217D3"/>
    <w:pPr>
      <w:tabs>
        <w:tab w:val="center" w:pos="4153"/>
        <w:tab w:val="right" w:pos="8306"/>
      </w:tabs>
      <w:snapToGrid w:val="0"/>
      <w:jc w:val="left"/>
    </w:pPr>
    <w:rPr>
      <w:sz w:val="18"/>
      <w:szCs w:val="18"/>
    </w:rPr>
  </w:style>
  <w:style w:type="paragraph" w:styleId="a7">
    <w:name w:val="header"/>
    <w:basedOn w:val="a"/>
    <w:link w:val="a8"/>
    <w:uiPriority w:val="99"/>
    <w:unhideWhenUsed/>
    <w:rsid w:val="00C217D3"/>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C217D3"/>
    <w:rPr>
      <w:sz w:val="18"/>
      <w:szCs w:val="18"/>
    </w:rPr>
  </w:style>
  <w:style w:type="character" w:customStyle="1" w:styleId="a6">
    <w:name w:val="页脚 字符"/>
    <w:basedOn w:val="a0"/>
    <w:link w:val="a5"/>
    <w:uiPriority w:val="99"/>
    <w:rsid w:val="00C217D3"/>
    <w:rPr>
      <w:sz w:val="18"/>
      <w:szCs w:val="18"/>
    </w:rPr>
  </w:style>
  <w:style w:type="character" w:customStyle="1" w:styleId="a4">
    <w:name w:val="批注框文本 字符"/>
    <w:basedOn w:val="a0"/>
    <w:link w:val="a3"/>
    <w:uiPriority w:val="99"/>
    <w:semiHidden/>
    <w:rsid w:val="00C217D3"/>
    <w:rPr>
      <w:sz w:val="18"/>
      <w:szCs w:val="18"/>
    </w:rPr>
  </w:style>
  <w:style w:type="paragraph" w:customStyle="1" w:styleId="1">
    <w:name w:val="修订1"/>
    <w:hidden/>
    <w:uiPriority w:val="99"/>
    <w:semiHidden/>
    <w:rsid w:val="00C217D3"/>
    <w:rPr>
      <w:kern w:val="2"/>
      <w:sz w:val="21"/>
      <w:szCs w:val="22"/>
    </w:rPr>
  </w:style>
  <w:style w:type="paragraph" w:styleId="a9">
    <w:name w:val="Revision"/>
    <w:hidden/>
    <w:uiPriority w:val="99"/>
    <w:semiHidden/>
    <w:rsid w:val="009F6CC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764</Words>
  <Characters>4359</Characters>
  <Application>Microsoft Office Word</Application>
  <DocSecurity>0</DocSecurity>
  <Lines>36</Lines>
  <Paragraphs>10</Paragraphs>
  <ScaleCrop>false</ScaleCrop>
  <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Msoft3675</dc:creator>
  <cp:lastModifiedBy>微软用户</cp:lastModifiedBy>
  <cp:revision>15</cp:revision>
  <dcterms:created xsi:type="dcterms:W3CDTF">2021-12-27T03:05:00Z</dcterms:created>
  <dcterms:modified xsi:type="dcterms:W3CDTF">2021-12-27T10:08:00Z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