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EE9379">
      <w:pPr>
        <w:rPr>
          <w:rFonts w:eastAsia="黑体"/>
        </w:rPr>
      </w:pPr>
    </w:p>
    <w:p w14:paraId="261D7346">
      <w:pPr>
        <w:rPr>
          <w:rFonts w:eastAsia="黑体"/>
        </w:rPr>
      </w:pPr>
    </w:p>
    <w:p w14:paraId="2E448A64">
      <w:pPr>
        <w:rPr>
          <w:rFonts w:eastAsia="黑体"/>
        </w:rPr>
      </w:pPr>
    </w:p>
    <w:p w14:paraId="71EF5851">
      <w:pPr>
        <w:rPr>
          <w:rFonts w:eastAsia="黑体"/>
        </w:rPr>
      </w:pPr>
    </w:p>
    <w:p w14:paraId="125996EA">
      <w:pPr>
        <w:rPr>
          <w:rFonts w:eastAsia="黑体"/>
        </w:rPr>
      </w:pPr>
    </w:p>
    <w:p w14:paraId="13EA21F1">
      <w:pPr>
        <w:rPr>
          <w:rFonts w:eastAsia="黑体"/>
        </w:rPr>
      </w:pPr>
    </w:p>
    <w:p w14:paraId="447E26FA">
      <w:pPr>
        <w:rPr>
          <w:rFonts w:eastAsia="黑体"/>
        </w:rPr>
      </w:pPr>
    </w:p>
    <w:p w14:paraId="39253765">
      <w:pPr>
        <w:rPr>
          <w:rFonts w:eastAsia="黑体"/>
        </w:rPr>
      </w:pPr>
    </w:p>
    <w:p w14:paraId="43C59A4F">
      <w:pPr>
        <w:jc w:val="center"/>
      </w:pPr>
      <w:r>
        <w:rPr>
          <w:rFonts w:hint="eastAsia"/>
        </w:rPr>
        <w:t>岭南</w:t>
      </w:r>
      <w:r>
        <w:t>〔2025〕16号</w:t>
      </w:r>
    </w:p>
    <w:p w14:paraId="1EDFC1C5">
      <w:pPr>
        <w:rPr>
          <w:rFonts w:eastAsia="黑体"/>
        </w:rPr>
      </w:pPr>
    </w:p>
    <w:p w14:paraId="15B2826E">
      <w:pPr>
        <w:rPr>
          <w:rFonts w:eastAsia="黑体"/>
        </w:rPr>
      </w:pPr>
      <w:r>
        <mc:AlternateContent>
          <mc:Choice Requires="wps">
            <w:drawing>
              <wp:anchor distT="0" distB="0" distL="114300" distR="114300" simplePos="0" relativeHeight="251659264"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544185" cy="864235"/>
                        </a:xfrm>
                        <a:prstGeom prst="rect">
                          <a:avLst/>
                        </a:prstGeom>
                        <a:noFill/>
                        <a:ln w="9525">
                          <a:noFill/>
                          <a:miter lim="800000"/>
                        </a:ln>
                      </wps:spPr>
                      <wps:txbx>
                        <w:txbxContent>
                          <w:p w14:paraId="252B45F7">
                            <w:pPr>
                              <w:jc w:val="center"/>
                              <w:rPr>
                                <w:rFonts w:eastAsia="方正小标宋简体"/>
                                <w:bCs/>
                                <w:color w:val="FF0000"/>
                                <w:w w:val="80"/>
                                <w:sz w:val="110"/>
                              </w:rPr>
                            </w:pPr>
                            <w:r>
                              <w:rPr>
                                <w:rFonts w:eastAsia="方正小标宋简体"/>
                                <w:bCs/>
                                <w:color w:val="FF0000"/>
                                <w:w w:val="80"/>
                                <w:sz w:val="110"/>
                              </w:rPr>
                              <w:t>中山大学</w:t>
                            </w:r>
                            <w:r>
                              <w:rPr>
                                <w:rFonts w:hint="eastAsia" w:eastAsia="方正小标宋简体"/>
                                <w:bCs/>
                                <w:color w:val="FF0000"/>
                                <w:w w:val="80"/>
                                <w:sz w:val="110"/>
                              </w:rPr>
                              <w:t>岭南学院</w:t>
                            </w:r>
                          </w:p>
                          <w:p w14:paraId="4DE7E683">
                            <w:pPr>
                              <w:jc w:val="center"/>
                              <w:rPr>
                                <w:rFonts w:eastAsia="方正小标宋简体"/>
                                <w:bCs/>
                                <w:color w:val="FF0000"/>
                                <w:w w:val="80"/>
                                <w:sz w:val="110"/>
                              </w:rPr>
                            </w:pPr>
                          </w:p>
                          <w:p w14:paraId="1FD7A65F"/>
                        </w:txbxContent>
                      </wps:txbx>
                      <wps:bodyPr rot="0" vert="horz" wrap="square" lIns="0" tIns="0" rIns="0" bIns="0" anchor="ctr" anchorCtr="0"/>
                    </wps:wsp>
                  </a:graphicData>
                </a:graphic>
              </wp:anchor>
            </w:drawing>
          </mc:Choice>
          <mc:Fallback>
            <w:pict>
              <v:shape id="文本框 2" o:spid="_x0000_s1026" o:spt="202" type="#_x0000_t202" style="position:absolute;left:0pt;margin-left:79.4pt;margin-top:198.45pt;height:68.05pt;width:436.55pt;mso-position-horizontal-relative:page;mso-position-vertical-relative:page;z-index:251659264;v-text-anchor:middle;mso-width-relative:page;mso-height-relative:page;" filled="f" stroked="f" coordsize="21600,21600" o:gfxdata="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nQhtoAAAAMAQAADwAAAAAA&#10;AAABACAAAAAiAAAAZHJzL2Rvd25yZXYueG1sUEsBAhQAFAAAAAgAh07iQOF0Y8IRAgAAAwQAAA4A&#10;AAAAAAAAAQAgAAAAKQEAAGRycy9lMm9Eb2MueG1sUEsFBgAAAAAGAAYAWQEAAKwFAAAAAA==&#10;">
                <v:fill on="f" focussize="0,0"/>
                <v:stroke on="f" miterlimit="8" joinstyle="miter"/>
                <v:imagedata o:title=""/>
                <o:lock v:ext="edit" aspectratio="f"/>
                <v:textbox inset="0mm,0mm,0mm,0mm">
                  <w:txbxContent>
                    <w:p w14:paraId="252B45F7">
                      <w:pPr>
                        <w:jc w:val="center"/>
                        <w:rPr>
                          <w:rFonts w:eastAsia="方正小标宋简体"/>
                          <w:bCs/>
                          <w:color w:val="FF0000"/>
                          <w:w w:val="80"/>
                          <w:sz w:val="110"/>
                        </w:rPr>
                      </w:pPr>
                      <w:r>
                        <w:rPr>
                          <w:rFonts w:eastAsia="方正小标宋简体"/>
                          <w:bCs/>
                          <w:color w:val="FF0000"/>
                          <w:w w:val="80"/>
                          <w:sz w:val="110"/>
                        </w:rPr>
                        <w:t>中山大学</w:t>
                      </w:r>
                      <w:r>
                        <w:rPr>
                          <w:rFonts w:hint="eastAsia" w:eastAsia="方正小标宋简体"/>
                          <w:bCs/>
                          <w:color w:val="FF0000"/>
                          <w:w w:val="80"/>
                          <w:sz w:val="110"/>
                        </w:rPr>
                        <w:t>岭南学院</w:t>
                      </w:r>
                    </w:p>
                    <w:p w14:paraId="4DE7E683">
                      <w:pPr>
                        <w:jc w:val="center"/>
                        <w:rPr>
                          <w:rFonts w:eastAsia="方正小标宋简体"/>
                          <w:bCs/>
                          <w:color w:val="FF0000"/>
                          <w:w w:val="80"/>
                          <w:sz w:val="110"/>
                        </w:rPr>
                      </w:pPr>
                    </w:p>
                    <w:p w14:paraId="1FD7A65F"/>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o:spt="20" style="position:absolute;left:0pt;margin-left:79.4pt;margin-top:357.15pt;height:0pt;width:436.55pt;mso-position-horizontal-relative:page;mso-position-vertical-relative:page;z-index:251660288;mso-width-relative:page;mso-height-relative:page;" filled="f" stroked="t" coordsize="21600,21600" o:gfxdata="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7ZAh/ZAAAADAEAAA8AAAAAAAAAAQAgAAAAIgAAAGRy&#10;cy9kb3ducmV2LnhtbFBLAQIUABQAAAAIAIdO4kAEDX/aywEAAIgDAAAOAAAAAAAAAAEAIAAAACgB&#10;AABkcnMvZTJvRG9jLnhtbFBLBQYAAAAABgAGAFkBAABlBQAAAAA=&#10;">
                <v:fill on="f" focussize="0,0"/>
                <v:stroke weight="1.5pt" color="#FF0000" joinstyle="round"/>
                <v:imagedata o:title=""/>
                <o:lock v:ext="edit" aspectratio="f"/>
              </v:line>
            </w:pict>
          </mc:Fallback>
        </mc:AlternateContent>
      </w:r>
    </w:p>
    <w:p w14:paraId="73873609">
      <w:pPr>
        <w:spacing w:line="600" w:lineRule="atLeast"/>
        <w:jc w:val="center"/>
        <w:rPr>
          <w:rFonts w:ascii="方正小标宋简体" w:eastAsia="方正小标宋简体"/>
          <w:sz w:val="44"/>
          <w:szCs w:val="44"/>
        </w:rPr>
      </w:pPr>
      <w:r>
        <w:rPr>
          <w:rFonts w:hint="eastAsia" w:eastAsia="方正小标宋简体"/>
          <w:sz w:val="44"/>
        </w:rPr>
        <w:t>岭南学院</w:t>
      </w:r>
      <w:r>
        <w:rPr>
          <w:rFonts w:eastAsia="方正小标宋简体"/>
          <w:sz w:val="44"/>
        </w:rPr>
        <w:t>关于</w:t>
      </w:r>
      <w:r>
        <w:rPr>
          <w:rFonts w:hint="eastAsia" w:eastAsia="方正小标宋简体"/>
          <w:sz w:val="44"/>
        </w:rPr>
        <w:t>印发《</w:t>
      </w:r>
      <w:bookmarkStart w:id="0" w:name="OLE_LINK1"/>
      <w:bookmarkStart w:id="1" w:name="OLE_LINK2"/>
      <w:r>
        <w:rPr>
          <w:rFonts w:hint="eastAsia" w:ascii="方正小标宋简体" w:eastAsia="方正小标宋简体"/>
          <w:sz w:val="44"/>
          <w:szCs w:val="44"/>
        </w:rPr>
        <w:t>岭南</w:t>
      </w:r>
      <w:r>
        <w:rPr>
          <w:rFonts w:ascii="方正小标宋简体" w:eastAsia="方正小标宋简体"/>
          <w:sz w:val="44"/>
          <w:szCs w:val="44"/>
        </w:rPr>
        <w:t>学</w:t>
      </w:r>
      <w:r>
        <w:rPr>
          <w:rFonts w:hint="eastAsia" w:ascii="方正小标宋简体" w:eastAsia="方正小标宋简体"/>
          <w:sz w:val="44"/>
          <w:szCs w:val="44"/>
        </w:rPr>
        <w:t>院推免资格认定遴选细则</w:t>
      </w:r>
      <w:bookmarkEnd w:id="0"/>
      <w:bookmarkEnd w:id="1"/>
      <w:r>
        <w:rPr>
          <w:rFonts w:hint="eastAsia" w:eastAsia="方正小标宋简体"/>
          <w:sz w:val="44"/>
        </w:rPr>
        <w:t>》</w:t>
      </w:r>
      <w:r>
        <w:rPr>
          <w:rFonts w:hint="eastAsia" w:ascii="方正小标宋简体" w:eastAsia="方正小标宋简体"/>
          <w:sz w:val="44"/>
          <w:szCs w:val="44"/>
        </w:rPr>
        <w:t>的</w:t>
      </w:r>
      <w:r>
        <w:rPr>
          <w:rFonts w:eastAsia="方正小标宋简体"/>
          <w:sz w:val="44"/>
        </w:rPr>
        <w:t>通知</w:t>
      </w:r>
    </w:p>
    <w:p w14:paraId="6EB37F39">
      <w:pPr>
        <w:spacing w:line="600" w:lineRule="atLeast"/>
      </w:pPr>
    </w:p>
    <w:p w14:paraId="009BD42A">
      <w:pPr>
        <w:spacing w:line="600" w:lineRule="atLeast"/>
        <w:jc w:val="both"/>
      </w:pPr>
      <w:r>
        <w:rPr>
          <w:rFonts w:hint="eastAsia"/>
        </w:rPr>
        <w:t>院内各部门</w:t>
      </w:r>
      <w:r>
        <w:t>：</w:t>
      </w:r>
    </w:p>
    <w:p w14:paraId="6C5DA3E4">
      <w:pPr>
        <w:pStyle w:val="20"/>
        <w:spacing w:line="600" w:lineRule="atLeast"/>
        <w:ind w:firstLine="640"/>
        <w:rPr>
          <w:rFonts w:ascii="仿宋_GB2312" w:eastAsia="仿宋_GB2312"/>
          <w:sz w:val="32"/>
          <w:szCs w:val="32"/>
        </w:rPr>
      </w:pPr>
      <w:r>
        <w:rPr>
          <w:rFonts w:hint="eastAsia" w:ascii="仿宋_GB2312" w:eastAsia="仿宋_GB2312"/>
          <w:sz w:val="32"/>
          <w:szCs w:val="32"/>
        </w:rPr>
        <w:t>接</w:t>
      </w:r>
      <w:bookmarkStart w:id="2" w:name="_Hlk133566074"/>
      <w:r>
        <w:rPr>
          <w:rFonts w:hint="eastAsia" w:ascii="仿宋_GB2312" w:eastAsia="仿宋_GB2312"/>
          <w:sz w:val="32"/>
          <w:szCs w:val="32"/>
        </w:rPr>
        <w:t>教务部《</w:t>
      </w:r>
      <w:r>
        <w:rPr>
          <w:rFonts w:ascii="仿宋_GB2312" w:eastAsia="仿宋_GB2312"/>
          <w:sz w:val="32"/>
          <w:szCs w:val="32"/>
        </w:rPr>
        <w:t>教务部关于开展院系推免资格认定遴选细则修订工作的通知</w:t>
      </w:r>
      <w:r>
        <w:rPr>
          <w:rFonts w:hint="eastAsia" w:ascii="仿宋_GB2312" w:eastAsia="仿宋_GB2312"/>
          <w:sz w:val="32"/>
          <w:szCs w:val="32"/>
        </w:rPr>
        <w:t>》（教务〔</w:t>
      </w:r>
      <w:r>
        <w:rPr>
          <w:rFonts w:ascii="Times New Roman" w:hAnsi="Times New Roman" w:eastAsia="仿宋_GB2312" w:cs="Times New Roman"/>
          <w:sz w:val="32"/>
          <w:szCs w:val="32"/>
        </w:rPr>
        <w:t>2025</w:t>
      </w:r>
      <w:r>
        <w:rPr>
          <w:rFonts w:ascii="仿宋_GB2312" w:eastAsia="仿宋_GB2312"/>
          <w:sz w:val="32"/>
          <w:szCs w:val="32"/>
        </w:rPr>
        <w:t>〕</w:t>
      </w:r>
      <w:r>
        <w:rPr>
          <w:rFonts w:ascii="Times New Roman" w:hAnsi="Times New Roman" w:eastAsia="仿宋_GB2312" w:cs="Times New Roman"/>
          <w:sz w:val="32"/>
          <w:szCs w:val="32"/>
        </w:rPr>
        <w:t>2</w:t>
      </w:r>
      <w:r>
        <w:rPr>
          <w:rFonts w:ascii="仿宋_GB2312" w:eastAsia="仿宋_GB2312"/>
          <w:sz w:val="32"/>
          <w:szCs w:val="32"/>
        </w:rPr>
        <w:t>号</w:t>
      </w:r>
      <w:r>
        <w:rPr>
          <w:rFonts w:hint="eastAsia" w:ascii="仿宋_GB2312" w:eastAsia="仿宋_GB2312"/>
          <w:sz w:val="32"/>
          <w:szCs w:val="32"/>
        </w:rPr>
        <w:t>），学院组织开展</w:t>
      </w:r>
      <w:bookmarkEnd w:id="2"/>
      <w:r>
        <w:rPr>
          <w:rFonts w:ascii="仿宋_GB2312" w:eastAsia="仿宋_GB2312"/>
          <w:sz w:val="32"/>
          <w:szCs w:val="32"/>
        </w:rPr>
        <w:t>推免资格认定遴选细则（以下简称</w:t>
      </w:r>
      <w:r>
        <w:rPr>
          <w:rFonts w:eastAsia="仿宋_GB2312"/>
          <w:sz w:val="32"/>
          <w:szCs w:val="32"/>
        </w:rPr>
        <w:t>“</w:t>
      </w:r>
      <w:r>
        <w:rPr>
          <w:rFonts w:ascii="仿宋_GB2312" w:eastAsia="仿宋_GB2312"/>
          <w:sz w:val="32"/>
          <w:szCs w:val="32"/>
        </w:rPr>
        <w:t>推免细则</w:t>
      </w:r>
      <w:r>
        <w:rPr>
          <w:rFonts w:eastAsia="仿宋_GB2312"/>
          <w:sz w:val="32"/>
          <w:szCs w:val="32"/>
        </w:rPr>
        <w:t>”</w:t>
      </w:r>
      <w:r>
        <w:rPr>
          <w:rFonts w:ascii="仿宋_GB2312" w:eastAsia="仿宋_GB2312"/>
          <w:sz w:val="32"/>
          <w:szCs w:val="32"/>
        </w:rPr>
        <w:t>）修订工作</w:t>
      </w:r>
      <w:r>
        <w:rPr>
          <w:rFonts w:hint="eastAsia" w:ascii="仿宋_GB2312" w:eastAsia="仿宋_GB2312"/>
          <w:sz w:val="32"/>
          <w:szCs w:val="32"/>
        </w:rPr>
        <w:t>。依据《中山大学推荐应届本科毕业生免试攻读研究生工作实施办法》，结合学院推免工作实际情况，修订《岭南学院推免资格认定遴选细则》。</w:t>
      </w:r>
    </w:p>
    <w:p w14:paraId="1A0AB1D0">
      <w:pPr>
        <w:spacing w:line="600" w:lineRule="atLeast"/>
        <w:ind w:firstLine="624" w:firstLineChars="200"/>
        <w:jc w:val="both"/>
      </w:pPr>
      <w:r>
        <w:rPr>
          <w:rFonts w:hint="eastAsia"/>
        </w:rPr>
        <w:t>《岭南</w:t>
      </w:r>
      <w:r>
        <w:t>学</w:t>
      </w:r>
      <w:r>
        <w:rPr>
          <w:rFonts w:hint="eastAsia"/>
        </w:rPr>
        <w:t>院推免资格认定遴选细则》经2</w:t>
      </w:r>
      <w:r>
        <w:t>025</w:t>
      </w:r>
      <w:r>
        <w:rPr>
          <w:rFonts w:hint="eastAsia"/>
        </w:rPr>
        <w:t>年第</w:t>
      </w:r>
      <w:r>
        <w:rPr>
          <w:bCs/>
          <w:color w:val="000000"/>
          <w:kern w:val="0"/>
          <w:szCs w:val="32"/>
        </w:rPr>
        <w:t>4</w:t>
      </w:r>
      <w:r>
        <w:rPr>
          <w:rFonts w:hint="eastAsia"/>
        </w:rPr>
        <w:t>次党政联席会会议审议通过，现予印发，请遵照执行。</w:t>
      </w:r>
    </w:p>
    <w:p w14:paraId="639837CE">
      <w:pPr>
        <w:spacing w:line="600" w:lineRule="atLeast"/>
        <w:ind w:firstLine="624" w:firstLineChars="200"/>
        <w:jc w:val="both"/>
      </w:pPr>
    </w:p>
    <w:p w14:paraId="7E55E69B">
      <w:pPr>
        <w:spacing w:line="600" w:lineRule="atLeast"/>
        <w:ind w:firstLine="624" w:firstLineChars="200"/>
        <w:jc w:val="both"/>
      </w:pPr>
    </w:p>
    <w:p w14:paraId="2597C99B">
      <w:pPr>
        <w:spacing w:line="600" w:lineRule="atLeast"/>
        <w:ind w:firstLine="624" w:firstLineChars="200"/>
        <w:jc w:val="both"/>
      </w:pPr>
    </w:p>
    <w:p w14:paraId="21AFEB1D">
      <w:pPr>
        <w:ind w:right="1809" w:rightChars="580"/>
        <w:jc w:val="right"/>
      </w:pPr>
      <w:r>
        <w:rPr>
          <w:rFonts w:hint="eastAsia"/>
        </w:rPr>
        <w:t>岭南学院</w:t>
      </w:r>
    </w:p>
    <w:p w14:paraId="15D2D77F">
      <w:pPr>
        <w:ind w:right="1248" w:rightChars="400"/>
        <w:jc w:val="right"/>
      </w:pPr>
      <w:r>
        <w:t>2025年3月26日</w:t>
      </w:r>
    </w:p>
    <w:p w14:paraId="2F14BE59">
      <w:pPr>
        <w:jc w:val="both"/>
      </w:pPr>
    </w:p>
    <w:p w14:paraId="2536F66F">
      <w:pPr>
        <w:jc w:val="both"/>
      </w:pPr>
    </w:p>
    <w:p w14:paraId="6B4E1846">
      <w:pPr>
        <w:jc w:val="both"/>
      </w:pPr>
    </w:p>
    <w:p w14:paraId="5142879C">
      <w:pPr>
        <w:jc w:val="both"/>
      </w:pPr>
    </w:p>
    <w:p w14:paraId="4A5BC1D3">
      <w:pPr>
        <w:jc w:val="both"/>
      </w:pPr>
    </w:p>
    <w:p w14:paraId="5E6CADEF">
      <w:pPr>
        <w:jc w:val="both"/>
      </w:pPr>
    </w:p>
    <w:p w14:paraId="0FF8EF99">
      <w:pPr>
        <w:jc w:val="both"/>
      </w:pPr>
    </w:p>
    <w:p w14:paraId="1BE2B6C2">
      <w:pPr>
        <w:jc w:val="both"/>
      </w:pPr>
    </w:p>
    <w:p w14:paraId="7C834270">
      <w:pPr>
        <w:jc w:val="both"/>
        <w:rPr>
          <w:szCs w:val="32"/>
        </w:rPr>
      </w:pPr>
    </w:p>
    <w:p w14:paraId="45F0BDB6">
      <w:pPr>
        <w:jc w:val="both"/>
        <w:rPr>
          <w:szCs w:val="32"/>
        </w:rPr>
      </w:pPr>
    </w:p>
    <w:p w14:paraId="6A82AD5B">
      <w:pPr>
        <w:jc w:val="both"/>
        <w:rPr>
          <w:szCs w:val="32"/>
        </w:rPr>
      </w:pPr>
    </w:p>
    <w:p w14:paraId="51824DB9">
      <w:pPr>
        <w:jc w:val="both"/>
        <w:rPr>
          <w:szCs w:val="32"/>
        </w:rPr>
      </w:pPr>
    </w:p>
    <w:p w14:paraId="4E9A6005">
      <w:pPr>
        <w:jc w:val="both"/>
        <w:rPr>
          <w:szCs w:val="32"/>
        </w:rPr>
      </w:pPr>
    </w:p>
    <w:p w14:paraId="7234F954">
      <w:pPr>
        <w:jc w:val="both"/>
        <w:rPr>
          <w:szCs w:val="32"/>
        </w:rPr>
      </w:pPr>
    </w:p>
    <w:p w14:paraId="5F471544">
      <w:pPr>
        <w:jc w:val="both"/>
        <w:rPr>
          <w:szCs w:val="32"/>
        </w:rPr>
      </w:pPr>
    </w:p>
    <w:p w14:paraId="514347C5">
      <w:pPr>
        <w:jc w:val="both"/>
        <w:rPr>
          <w:szCs w:val="32"/>
        </w:rPr>
      </w:pPr>
    </w:p>
    <w:p w14:paraId="4064A9E8">
      <w:pPr>
        <w:spacing w:line="560" w:lineRule="exact"/>
        <w:jc w:val="center"/>
        <w:rPr>
          <w:rFonts w:ascii="方正小标宋简体" w:eastAsia="方正小标宋简体"/>
          <w:sz w:val="44"/>
          <w:szCs w:val="44"/>
        </w:rPr>
      </w:pPr>
      <w:r>
        <w:rPr>
          <w:rFonts w:hint="eastAsia" w:ascii="方正小标宋简体" w:eastAsia="方正小标宋简体"/>
          <w:sz w:val="44"/>
          <w:szCs w:val="44"/>
        </w:rPr>
        <w:t>岭南</w:t>
      </w:r>
      <w:r>
        <w:rPr>
          <w:rFonts w:ascii="方正小标宋简体" w:eastAsia="方正小标宋简体"/>
          <w:sz w:val="44"/>
          <w:szCs w:val="44"/>
        </w:rPr>
        <w:t>学</w:t>
      </w:r>
      <w:r>
        <w:rPr>
          <w:rFonts w:hint="eastAsia" w:ascii="方正小标宋简体" w:eastAsia="方正小标宋简体"/>
          <w:sz w:val="44"/>
          <w:szCs w:val="44"/>
        </w:rPr>
        <w:t>院推免资格认定遴选细则</w:t>
      </w:r>
    </w:p>
    <w:p w14:paraId="6622CD87">
      <w:pPr>
        <w:spacing w:line="560" w:lineRule="exact"/>
        <w:rPr>
          <w:rFonts w:eastAsia="黑体"/>
          <w:color w:val="000000"/>
          <w:kern w:val="0"/>
          <w:sz w:val="28"/>
          <w:szCs w:val="32"/>
        </w:rPr>
      </w:pPr>
    </w:p>
    <w:p w14:paraId="6361C7D7">
      <w:pPr>
        <w:spacing w:line="560" w:lineRule="exact"/>
        <w:ind w:firstLine="641"/>
        <w:rPr>
          <w:rFonts w:ascii="仿宋_GB2312" w:hAnsi="仿宋_GB2312" w:cs="仿宋_GB2312"/>
          <w:b/>
          <w:bCs/>
          <w:color w:val="000000"/>
          <w:kern w:val="0"/>
          <w:szCs w:val="32"/>
        </w:rPr>
      </w:pPr>
      <w:r>
        <w:rPr>
          <w:rFonts w:hint="eastAsia" w:ascii="仿宋_GB2312" w:hAnsi="仿宋_GB2312" w:cs="仿宋_GB2312"/>
          <w:b/>
          <w:bCs/>
          <w:color w:val="000000"/>
          <w:kern w:val="0"/>
          <w:szCs w:val="32"/>
        </w:rPr>
        <w:t xml:space="preserve">第一条  </w:t>
      </w:r>
      <w:r>
        <w:rPr>
          <w:rFonts w:hint="eastAsia" w:ascii="仿宋_GB2312" w:hAnsi="仿宋_GB2312" w:cs="仿宋_GB2312"/>
          <w:bCs/>
          <w:color w:val="000000"/>
          <w:kern w:val="0"/>
          <w:szCs w:val="32"/>
        </w:rPr>
        <w:t>根据《中山大学推荐应届本科毕业生免试攻读研究生工作实施办法》文件要求，为规范做好推荐优秀本科毕业生免试攻读研究生学位（以下简称“推免”）资格认定工作，结合本单位实际，特制定本细则。</w:t>
      </w:r>
    </w:p>
    <w:p w14:paraId="295E947E">
      <w:pPr>
        <w:spacing w:line="560" w:lineRule="exact"/>
        <w:ind w:firstLine="624" w:firstLineChars="200"/>
        <w:rPr>
          <w:rFonts w:ascii="仿宋_GB2312" w:hAnsi="仿宋_GB2312" w:cs="仿宋_GB2312"/>
          <w:bCs/>
          <w:color w:val="000000"/>
          <w:kern w:val="0"/>
          <w:szCs w:val="32"/>
        </w:rPr>
      </w:pPr>
      <w:r>
        <w:rPr>
          <w:rFonts w:hint="eastAsia" w:ascii="仿宋_GB2312" w:hAnsi="仿宋_GB2312" w:cs="仿宋_GB2312"/>
          <w:b/>
          <w:bCs/>
          <w:color w:val="000000"/>
          <w:kern w:val="0"/>
          <w:szCs w:val="32"/>
        </w:rPr>
        <w:t xml:space="preserve">第二条  </w:t>
      </w:r>
      <w:r>
        <w:rPr>
          <w:rFonts w:hint="eastAsia" w:ascii="仿宋_GB2312" w:hAnsi="仿宋_GB2312" w:cs="仿宋_GB2312"/>
          <w:bCs/>
          <w:color w:val="000000"/>
          <w:kern w:val="0"/>
          <w:szCs w:val="32"/>
        </w:rPr>
        <w:t>推荐名额分配方案：本学院设有经济学、金融学</w:t>
      </w:r>
      <w:r>
        <w:rPr>
          <w:bCs/>
          <w:color w:val="000000"/>
          <w:kern w:val="0"/>
          <w:szCs w:val="32"/>
        </w:rPr>
        <w:t>2</w:t>
      </w:r>
      <w:r>
        <w:rPr>
          <w:rFonts w:hint="eastAsia" w:ascii="仿宋_GB2312" w:hAnsi="仿宋_GB2312" w:cs="仿宋_GB2312"/>
          <w:bCs/>
          <w:color w:val="000000"/>
          <w:kern w:val="0"/>
          <w:szCs w:val="32"/>
        </w:rPr>
        <w:t>个专业，学校向基础学科拔尖学生培养计划</w:t>
      </w:r>
      <w:r>
        <w:rPr>
          <w:bCs/>
          <w:color w:val="000000"/>
          <w:kern w:val="0"/>
          <w:szCs w:val="32"/>
        </w:rPr>
        <w:t>2.0</w:t>
      </w:r>
      <w:r>
        <w:rPr>
          <w:rFonts w:hint="eastAsia" w:ascii="仿宋_GB2312" w:hAnsi="仿宋_GB2312" w:cs="仿宋_GB2312"/>
          <w:bCs/>
          <w:color w:val="000000"/>
          <w:kern w:val="0"/>
          <w:szCs w:val="32"/>
        </w:rPr>
        <w:t>基地所在院系额外增加的推荐名额分配给拔尖班学生，其余推荐名额在全院范围内分配。</w:t>
      </w:r>
    </w:p>
    <w:p w14:paraId="6A8AB763">
      <w:pPr>
        <w:spacing w:line="560" w:lineRule="exact"/>
        <w:ind w:firstLine="624" w:firstLineChars="200"/>
        <w:rPr>
          <w:rFonts w:ascii="仿宋_GB2312" w:hAnsi="仿宋_GB2312" w:cs="仿宋_GB2312"/>
          <w:szCs w:val="32"/>
        </w:rPr>
      </w:pPr>
      <w:r>
        <w:rPr>
          <w:rFonts w:hint="eastAsia" w:ascii="仿宋_GB2312" w:hAnsi="仿宋_GB2312" w:cs="仿宋_GB2312"/>
          <w:b/>
          <w:bCs/>
          <w:color w:val="000000"/>
          <w:kern w:val="0"/>
          <w:szCs w:val="32"/>
        </w:rPr>
        <w:t xml:space="preserve">第三条 </w:t>
      </w:r>
      <w:r>
        <w:rPr>
          <w:rFonts w:hint="eastAsia" w:ascii="仿宋_GB2312" w:hAnsi="仿宋_GB2312" w:cs="仿宋_GB2312"/>
          <w:bCs/>
          <w:color w:val="000000"/>
          <w:kern w:val="0"/>
          <w:szCs w:val="32"/>
        </w:rPr>
        <w:t xml:space="preserve"> 认定条件与遴选指标：申请学生在满足学校推免文件要求的基础上，按照以下优先原则及遴选指标，计算推荐排序并参加择优遴选。</w:t>
      </w:r>
    </w:p>
    <w:p w14:paraId="3495BC30">
      <w:pPr>
        <w:spacing w:line="560" w:lineRule="exact"/>
        <w:ind w:firstLine="641"/>
        <w:rPr>
          <w:rFonts w:ascii="仿宋_GB2312" w:hAnsi="仿宋_GB2312" w:cs="仿宋_GB2312"/>
          <w:bCs/>
          <w:color w:val="000000"/>
          <w:kern w:val="0"/>
          <w:szCs w:val="32"/>
        </w:rPr>
      </w:pPr>
      <w:r>
        <w:rPr>
          <w:rFonts w:hint="eastAsia" w:ascii="仿宋_GB2312" w:hAnsi="仿宋_GB2312" w:cs="仿宋_GB2312"/>
          <w:bCs/>
          <w:color w:val="000000"/>
          <w:kern w:val="0"/>
          <w:szCs w:val="32"/>
        </w:rPr>
        <w:t>（一）按学生本科专业培养方案要求的一至三年级（</w:t>
      </w:r>
      <w:r>
        <w:rPr>
          <w:bCs/>
          <w:color w:val="000000"/>
          <w:kern w:val="0"/>
          <w:szCs w:val="32"/>
        </w:rPr>
        <w:t>6</w:t>
      </w:r>
      <w:r>
        <w:rPr>
          <w:rFonts w:hint="eastAsia" w:ascii="仿宋_GB2312" w:hAnsi="仿宋_GB2312" w:cs="仿宋_GB2312"/>
          <w:bCs/>
          <w:color w:val="000000"/>
          <w:kern w:val="0"/>
          <w:szCs w:val="32"/>
        </w:rPr>
        <w:t>学期）的所有必修、专选课程成绩平均绩点，按学生在各自专业的排名占比，对全院申请学生（含拔尖班申请学生）从低至高排序。若遇排名占比相同的情况，则按上述课程成绩平均绩点由高至低排序。若遇排名占比和课程成绩平均绩点都相同的情况</w:t>
      </w:r>
      <w:bookmarkStart w:id="4" w:name="_GoBack"/>
      <w:bookmarkEnd w:id="4"/>
      <w:r>
        <w:rPr>
          <w:rFonts w:hint="eastAsia" w:ascii="仿宋_GB2312" w:hAnsi="仿宋_GB2312" w:cs="仿宋_GB2312"/>
          <w:bCs/>
          <w:color w:val="000000"/>
          <w:kern w:val="0"/>
          <w:szCs w:val="32"/>
        </w:rPr>
        <w:t>，则按其专业必修课程成绩的平均绩点，由高到低排序。</w:t>
      </w:r>
    </w:p>
    <w:p w14:paraId="765AB71D">
      <w:pPr>
        <w:pStyle w:val="8"/>
        <w:shd w:val="clear" w:color="auto" w:fill="FFFFFF"/>
        <w:ind w:firstLine="624" w:firstLineChars="200"/>
        <w:rPr>
          <w:rFonts w:ascii="仿宋_GB2312" w:hAnsi="仿宋_GB2312" w:eastAsia="仿宋_GB2312" w:cs="仿宋_GB2312"/>
          <w:bCs/>
          <w:color w:val="000000"/>
          <w:sz w:val="32"/>
          <w:szCs w:val="32"/>
          <w:highlight w:val="none"/>
        </w:rPr>
      </w:pPr>
      <w:r>
        <w:rPr>
          <w:rFonts w:hint="eastAsia" w:ascii="仿宋_GB2312" w:hAnsi="仿宋_GB2312" w:eastAsia="仿宋_GB2312" w:cs="仿宋_GB2312"/>
          <w:bCs/>
          <w:color w:val="000000"/>
          <w:sz w:val="32"/>
          <w:szCs w:val="32"/>
        </w:rPr>
        <w:t>（二）</w:t>
      </w:r>
      <w:bookmarkStart w:id="3" w:name="_Hlk193355451"/>
      <w:r>
        <w:rPr>
          <w:rFonts w:hint="eastAsia" w:ascii="仿宋_GB2312" w:hAnsi="仿宋_GB2312" w:eastAsia="仿宋_GB2312" w:cs="仿宋_GB2312"/>
          <w:bCs/>
          <w:color w:val="000000"/>
          <w:sz w:val="32"/>
          <w:szCs w:val="32"/>
          <w:highlight w:val="none"/>
        </w:rPr>
        <w:t>学生需按照主修专业培养方案的规定进度修读必修课并取得相应学分，未修满学分的必修课程按</w:t>
      </w:r>
      <w:r>
        <w:rPr>
          <w:rFonts w:ascii="仿宋_GB2312" w:hAnsi="仿宋_GB2312" w:eastAsia="仿宋_GB2312" w:cs="仿宋_GB2312"/>
          <w:bCs/>
          <w:color w:val="000000"/>
          <w:sz w:val="32"/>
          <w:szCs w:val="32"/>
          <w:highlight w:val="none"/>
        </w:rPr>
        <w:t>0分纳入课程成绩</w:t>
      </w:r>
      <w:r>
        <w:rPr>
          <w:rFonts w:hint="eastAsia" w:ascii="仿宋_GB2312" w:hAnsi="仿宋_GB2312" w:eastAsia="仿宋_GB2312" w:cs="仿宋_GB2312"/>
          <w:bCs/>
          <w:color w:val="000000"/>
          <w:sz w:val="32"/>
          <w:szCs w:val="32"/>
          <w:highlight w:val="none"/>
        </w:rPr>
        <w:t>平均绩点计算排序。学生如因出境交换学习且在境外期间交换院校未开设对应课程等特殊原因未修满相关学期的必修课学分，而且返校后也没有机会在规定时间内补修，须向学院推免工作小组提交书面证明材料，在上述课程情况经学院推免工作小组审议认定后，将不受上述影响。</w:t>
      </w:r>
    </w:p>
    <w:bookmarkEnd w:id="3"/>
    <w:p w14:paraId="037D1E06">
      <w:pPr>
        <w:spacing w:line="560" w:lineRule="exact"/>
        <w:ind w:firstLine="641"/>
        <w:rPr>
          <w:rFonts w:ascii="仿宋_GB2312" w:hAnsi="仿宋_GB2312" w:cs="仿宋_GB2312"/>
          <w:bCs/>
          <w:color w:val="000000"/>
          <w:kern w:val="0"/>
          <w:szCs w:val="32"/>
        </w:rPr>
      </w:pPr>
      <w:r>
        <w:rPr>
          <w:rFonts w:hint="eastAsia" w:ascii="仿宋_GB2312" w:hAnsi="仿宋_GB2312" w:cs="仿宋_GB2312"/>
          <w:bCs/>
          <w:color w:val="000000"/>
          <w:kern w:val="0"/>
          <w:szCs w:val="32"/>
        </w:rPr>
        <w:t>（三）拔尖班中符合推免条件的申请人须参加首轮全院范围申请人的推荐排序，择优遴选；未能在全院范围遴选中获得推免资格的拔尖班申请人另行排序，择优遴选（基础学科拔尖学生培养计划</w:t>
      </w:r>
      <w:r>
        <w:rPr>
          <w:bCs/>
          <w:color w:val="000000"/>
          <w:kern w:val="0"/>
          <w:szCs w:val="32"/>
        </w:rPr>
        <w:t>2.0</w:t>
      </w:r>
      <w:r>
        <w:rPr>
          <w:rFonts w:hint="eastAsia" w:ascii="仿宋_GB2312" w:hAnsi="仿宋_GB2312" w:cs="仿宋_GB2312"/>
          <w:bCs/>
          <w:color w:val="000000"/>
          <w:kern w:val="0"/>
          <w:szCs w:val="32"/>
        </w:rPr>
        <w:t>基地额外增加的推荐名额用于此轮分配）。拔尖班内的推荐排序规则与全院范围推荐排序规则相同。拔尖班内符合推荐条件的申请人数低于分配给拔尖班的推荐名额数的按实际符合条件人数推荐，其剩余名额由学院收回再统筹分配。</w:t>
      </w:r>
    </w:p>
    <w:p w14:paraId="72110B1E">
      <w:pPr>
        <w:widowControl/>
        <w:spacing w:before="150" w:line="560" w:lineRule="exact"/>
        <w:ind w:firstLine="624" w:firstLineChars="200"/>
        <w:outlineLvl w:val="0"/>
        <w:rPr>
          <w:rFonts w:ascii="仿宋_GB2312" w:hAnsi="仿宋_GB2312" w:cs="仿宋_GB2312"/>
          <w:bCs/>
          <w:color w:val="000000"/>
          <w:kern w:val="0"/>
          <w:szCs w:val="32"/>
        </w:rPr>
      </w:pPr>
      <w:r>
        <w:rPr>
          <w:rFonts w:hint="eastAsia" w:ascii="仿宋_GB2312" w:hAnsi="仿宋_GB2312" w:cs="仿宋_GB2312"/>
          <w:b/>
          <w:bCs/>
          <w:color w:val="000000"/>
          <w:kern w:val="0"/>
          <w:szCs w:val="32"/>
        </w:rPr>
        <w:t>第四条</w:t>
      </w:r>
      <w:r>
        <w:rPr>
          <w:rFonts w:hint="eastAsia" w:ascii="仿宋_GB2312" w:hAnsi="仿宋_GB2312" w:cs="仿宋_GB2312"/>
          <w:bCs/>
          <w:color w:val="000000"/>
          <w:kern w:val="0"/>
          <w:szCs w:val="32"/>
        </w:rPr>
        <w:t xml:space="preserve">  本细则经本学院</w:t>
      </w:r>
      <w:r>
        <w:rPr>
          <w:bCs/>
          <w:color w:val="000000"/>
          <w:kern w:val="0"/>
          <w:szCs w:val="32"/>
        </w:rPr>
        <w:t>2025</w:t>
      </w:r>
      <w:r>
        <w:rPr>
          <w:rFonts w:hint="eastAsia" w:ascii="仿宋_GB2312" w:hAnsi="仿宋_GB2312" w:cs="仿宋_GB2312"/>
          <w:bCs/>
          <w:color w:val="000000"/>
          <w:kern w:val="0"/>
          <w:szCs w:val="32"/>
        </w:rPr>
        <w:t>年第</w:t>
      </w:r>
      <w:r>
        <w:rPr>
          <w:bCs/>
          <w:color w:val="000000"/>
          <w:kern w:val="0"/>
          <w:szCs w:val="32"/>
        </w:rPr>
        <w:t>4</w:t>
      </w:r>
      <w:r>
        <w:rPr>
          <w:rFonts w:hint="eastAsia" w:ascii="仿宋_GB2312" w:hAnsi="仿宋_GB2312" w:cs="仿宋_GB2312"/>
          <w:bCs/>
          <w:color w:val="000000"/>
          <w:kern w:val="0"/>
          <w:szCs w:val="32"/>
        </w:rPr>
        <w:t>次党政联席会审议通过，自发布之日起执行。原《岭南学院推免资格认定遴选细则》同时废止。</w:t>
      </w:r>
    </w:p>
    <w:p w14:paraId="54056D1A">
      <w:pPr>
        <w:spacing w:line="560" w:lineRule="exact"/>
        <w:ind w:firstLine="641"/>
        <w:rPr>
          <w:rFonts w:ascii="仿宋_GB2312" w:hAnsi="仿宋_GB2312" w:cs="仿宋_GB2312"/>
          <w:bCs/>
          <w:color w:val="000000"/>
          <w:kern w:val="0"/>
          <w:szCs w:val="32"/>
        </w:rPr>
      </w:pPr>
      <w:r>
        <w:rPr>
          <w:rFonts w:hint="eastAsia" w:ascii="仿宋_GB2312" w:hAnsi="仿宋_GB2312" w:cs="仿宋_GB2312"/>
          <w:b/>
          <w:bCs/>
          <w:color w:val="000000"/>
          <w:kern w:val="0"/>
          <w:szCs w:val="32"/>
        </w:rPr>
        <w:t xml:space="preserve">第五条  </w:t>
      </w:r>
      <w:r>
        <w:rPr>
          <w:rFonts w:hint="eastAsia" w:ascii="仿宋_GB2312" w:hAnsi="仿宋_GB2312" w:cs="仿宋_GB2312"/>
          <w:bCs/>
          <w:color w:val="000000"/>
          <w:kern w:val="0"/>
          <w:szCs w:val="32"/>
        </w:rPr>
        <w:t>本细则由本学院推免工作小组负责解释。</w:t>
      </w:r>
    </w:p>
    <w:p w14:paraId="250FE1B2">
      <w:pPr>
        <w:jc w:val="both"/>
        <w:rPr>
          <w:szCs w:val="32"/>
        </w:rPr>
      </w:pPr>
    </w:p>
    <w:p w14:paraId="54AE6198">
      <w:pPr>
        <w:jc w:val="both"/>
        <w:rPr>
          <w:szCs w:val="32"/>
        </w:rPr>
      </w:pPr>
    </w:p>
    <w:p w14:paraId="083778E1">
      <w:pPr>
        <w:jc w:val="both"/>
        <w:rPr>
          <w:szCs w:val="32"/>
        </w:rPr>
      </w:pPr>
    </w:p>
    <w:p w14:paraId="6E0A218E">
      <w:pPr>
        <w:jc w:val="both"/>
        <w:rPr>
          <w:szCs w:val="32"/>
        </w:rPr>
      </w:pPr>
    </w:p>
    <w:p w14:paraId="15CC59CC">
      <w:pPr>
        <w:jc w:val="both"/>
        <w:rPr>
          <w:szCs w:val="32"/>
        </w:rPr>
      </w:pPr>
    </w:p>
    <w:p w14:paraId="36657970">
      <w:pPr>
        <w:pBdr>
          <w:top w:val="single" w:color="auto" w:sz="8" w:space="1"/>
          <w:bottom w:val="single" w:color="auto" w:sz="8" w:space="1"/>
          <w:between w:val="single" w:color="auto" w:sz="6" w:space="1"/>
        </w:pBdr>
        <w:ind w:left="840" w:hanging="816" w:hangingChars="300"/>
        <w:rPr>
          <w:spacing w:val="-4"/>
          <w:sz w:val="28"/>
          <w:szCs w:val="28"/>
        </w:rPr>
      </w:pPr>
      <w:r>
        <w:rPr>
          <w:sz w:val="28"/>
          <w:szCs w:val="28"/>
        </w:rPr>
        <w:t xml:space="preserve">  </w:t>
      </w:r>
      <w:r>
        <w:rPr>
          <w:spacing w:val="-4"/>
          <w:sz w:val="28"/>
          <w:szCs w:val="28"/>
        </w:rPr>
        <w:t>发：</w:t>
      </w:r>
      <w:r>
        <w:rPr>
          <w:rFonts w:hint="eastAsia"/>
          <w:spacing w:val="-4"/>
          <w:sz w:val="28"/>
          <w:szCs w:val="28"/>
        </w:rPr>
        <w:t>院领导，院长助理，经济学系、金融学系，党政办公室。</w:t>
      </w:r>
    </w:p>
    <w:p w14:paraId="3ACF5A7A">
      <w:pPr>
        <w:pBdr>
          <w:top w:val="single" w:color="auto" w:sz="8" w:space="1"/>
          <w:bottom w:val="single" w:color="auto" w:sz="8" w:space="1"/>
          <w:between w:val="single" w:color="auto" w:sz="6" w:space="1"/>
        </w:pBdr>
        <w:ind w:firstLine="272" w:firstLineChars="100"/>
        <w:rPr>
          <w:rFonts w:eastAsia="黑体"/>
        </w:rPr>
      </w:pPr>
      <w:r>
        <w:rPr>
          <w:rFonts w:hint="eastAsia"/>
          <w:sz w:val="28"/>
          <w:szCs w:val="28"/>
        </w:rPr>
        <w:t>岭南学院党政</w:t>
      </w:r>
      <w:r>
        <w:rPr>
          <w:sz w:val="28"/>
          <w:szCs w:val="28"/>
        </w:rPr>
        <w:t xml:space="preserve">办公室      </w:t>
      </w:r>
      <w:r>
        <w:rPr>
          <w:rFonts w:hint="eastAsia"/>
          <w:sz w:val="28"/>
          <w:szCs w:val="28"/>
        </w:rPr>
        <w:t>主动公开</w:t>
      </w:r>
      <w:r>
        <w:rPr>
          <w:sz w:val="28"/>
          <w:szCs w:val="28"/>
        </w:rPr>
        <w:t xml:space="preserve">         </w:t>
      </w:r>
      <w:r>
        <w:rPr>
          <w:kern w:val="0"/>
          <w:sz w:val="28"/>
          <w:szCs w:val="28"/>
        </w:rPr>
        <w:t>2025年4月15日印发</w:t>
      </w:r>
    </w:p>
    <w:sectPr>
      <w:footerReference r:id="rId5" w:type="default"/>
      <w:footerReference r:id="rId6" w:type="even"/>
      <w:footnotePr>
        <w:numFmt w:val="decimalEnclosedCircleChinese"/>
        <w:numRestart w:val="eachPage"/>
      </w:footnotePr>
      <w:pgSz w:w="11906" w:h="16838"/>
      <w:pgMar w:top="2098" w:right="1588" w:bottom="2041" w:left="1588" w:header="851" w:footer="1644" w:gutter="0"/>
      <w:cols w:space="425" w:num="1" w:sep="1"/>
      <w:docGrid w:type="linesAndChars" w:linePitch="577" w:charSpace="-168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BF87FF5-C9E7-4AA4-B3AA-69F56859EBF5}"/>
  </w:font>
  <w:font w:name="Arial">
    <w:panose1 w:val="020B0604020202020204"/>
    <w:charset w:val="01"/>
    <w:family w:val="swiss"/>
    <w:pitch w:val="default"/>
    <w:sig w:usb0="E0002EFF" w:usb1="C000785B" w:usb2="00000009" w:usb3="00000000" w:csb0="400001FF" w:csb1="FFFF0000"/>
    <w:embedRegular r:id="rId2" w:fontKey="{B4658960-7B5D-44AE-A558-99AE0B1C5815}"/>
  </w:font>
  <w:font w:name="黑体">
    <w:panose1 w:val="02010609060101010101"/>
    <w:charset w:val="86"/>
    <w:family w:val="auto"/>
    <w:pitch w:val="default"/>
    <w:sig w:usb0="800002BF" w:usb1="38CF7CFA" w:usb2="00000016" w:usb3="00000000" w:csb0="00040001" w:csb1="00000000"/>
    <w:embedRegular r:id="rId3" w:fontKey="{7EE37D77-88FB-4932-B97C-8ACC73CCD58F}"/>
  </w:font>
  <w:font w:name="Courier New">
    <w:panose1 w:val="02070309020205020404"/>
    <w:charset w:val="01"/>
    <w:family w:val="modern"/>
    <w:pitch w:val="default"/>
    <w:sig w:usb0="E0002EFF" w:usb1="C0007843" w:usb2="00000009" w:usb3="00000000" w:csb0="400001FF" w:csb1="FFFF0000"/>
    <w:embedRegular r:id="rId4" w:fontKey="{EDCABE1E-990D-4C64-B94F-5A6334CBE933}"/>
  </w:font>
  <w:font w:name="Symbol">
    <w:panose1 w:val="05050102010706020507"/>
    <w:charset w:val="02"/>
    <w:family w:val="roman"/>
    <w:pitch w:val="default"/>
    <w:sig w:usb0="00000000" w:usb1="00000000" w:usb2="00000000" w:usb3="00000000" w:csb0="80000000" w:csb1="00000000"/>
    <w:embedRegular r:id="rId5" w:fontKey="{446E6AB9-D71A-4F36-9A7C-56E469A43174}"/>
  </w:font>
  <w:font w:name="Calibri">
    <w:panose1 w:val="020F0502020204030204"/>
    <w:charset w:val="00"/>
    <w:family w:val="swiss"/>
    <w:pitch w:val="default"/>
    <w:sig w:usb0="E4002EFF" w:usb1="C000247B" w:usb2="00000009" w:usb3="00000000" w:csb0="200001FF" w:csb1="00000000"/>
    <w:embedRegular r:id="rId6" w:fontKey="{D278AB08-8A98-48F8-B8B3-6D72FB9F1CB8}"/>
  </w:font>
  <w:font w:name="仿宋_GB2312">
    <w:panose1 w:val="02010609030101010101"/>
    <w:charset w:val="86"/>
    <w:family w:val="modern"/>
    <w:pitch w:val="default"/>
    <w:sig w:usb0="00000001" w:usb1="080E0000" w:usb2="00000000" w:usb3="00000000" w:csb0="00040000" w:csb1="00000000"/>
    <w:embedRegular r:id="rId7" w:fontKey="{D08AF344-F7AE-46B7-BEE3-D41368FA1E85}"/>
  </w:font>
  <w:font w:name="方正小标宋简体">
    <w:panose1 w:val="03000509000000000000"/>
    <w:charset w:val="86"/>
    <w:family w:val="script"/>
    <w:pitch w:val="default"/>
    <w:sig w:usb0="00000001" w:usb1="080E0000" w:usb2="00000000" w:usb3="00000000" w:csb0="00040000" w:csb1="00000000"/>
    <w:embedRegular r:id="rId8" w:fontKey="{879EED0D-1BFF-486D-8C36-5DD18D0CA851}"/>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153C9">
    <w:pPr>
      <w:pStyle w:val="6"/>
      <w:wordWrap w:val="0"/>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1</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EFBF0">
    <w:pPr>
      <w:pStyle w:val="6"/>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PAGE   \* MERGEFORMAT</w:instrText>
    </w:r>
    <w:r>
      <w:rPr>
        <w:rFonts w:ascii="Times New Roman" w:hAnsi="Times New Roman"/>
        <w:sz w:val="28"/>
        <w:szCs w:val="28"/>
      </w:rPr>
      <w:fldChar w:fldCharType="separate"/>
    </w:r>
    <w:r>
      <w:rPr>
        <w:rFonts w:ascii="Times New Roman" w:hAnsi="Times New Roman"/>
        <w:sz w:val="28"/>
        <w:szCs w:val="28"/>
        <w:lang w:val="zh-CN"/>
      </w:rPr>
      <w:t>2</w:t>
    </w:r>
    <w:r>
      <w:rPr>
        <w:rFonts w:ascii="Times New Roman" w:hAnsi="Times New Roman"/>
        <w:sz w:val="28"/>
        <w:szCs w:val="28"/>
      </w:rPr>
      <w:fldChar w:fldCharType="end"/>
    </w:r>
    <w:r>
      <w:rPr>
        <w:rFonts w:ascii="Times New Roman" w:hAnsi="Times New Roman"/>
        <w:sz w:val="28"/>
        <w:szCs w:val="2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attachedTemplate r:id="rId1"/>
  <w:revisionView w:markup="0"/>
  <w:trackRevisions w:val="1"/>
  <w:documentProtection w:enforcement="0"/>
  <w:defaultTabStop w:val="420"/>
  <w:evenAndOddHeaders w:val="1"/>
  <w:drawingGridHorizontalSpacing w:val="156"/>
  <w:drawingGridVerticalSpacing w:val="577"/>
  <w:noPunctuationKerning w:val="1"/>
  <w:characterSpacingControl w:val="compressPunctuation"/>
  <w:footnotePr>
    <w:numFmt w:val="decimalEnclosedCircleChinese"/>
    <w:numRestart w:val="eachPage"/>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B85"/>
    <w:rsid w:val="000133BA"/>
    <w:rsid w:val="00016CDC"/>
    <w:rsid w:val="00030B15"/>
    <w:rsid w:val="00032809"/>
    <w:rsid w:val="00047A3B"/>
    <w:rsid w:val="0006379A"/>
    <w:rsid w:val="0007068D"/>
    <w:rsid w:val="00086706"/>
    <w:rsid w:val="000D6A64"/>
    <w:rsid w:val="000E3BC9"/>
    <w:rsid w:val="000E40F2"/>
    <w:rsid w:val="0013147D"/>
    <w:rsid w:val="00134325"/>
    <w:rsid w:val="0014608B"/>
    <w:rsid w:val="00160C91"/>
    <w:rsid w:val="001636B0"/>
    <w:rsid w:val="001705E3"/>
    <w:rsid w:val="00174B4D"/>
    <w:rsid w:val="00180691"/>
    <w:rsid w:val="001872BB"/>
    <w:rsid w:val="00187C00"/>
    <w:rsid w:val="00192A77"/>
    <w:rsid w:val="001A15AC"/>
    <w:rsid w:val="001A4D7B"/>
    <w:rsid w:val="001B2074"/>
    <w:rsid w:val="001C4193"/>
    <w:rsid w:val="001C6C10"/>
    <w:rsid w:val="001F02D0"/>
    <w:rsid w:val="001F44D9"/>
    <w:rsid w:val="00216360"/>
    <w:rsid w:val="00221B66"/>
    <w:rsid w:val="00244840"/>
    <w:rsid w:val="00255631"/>
    <w:rsid w:val="00262F8B"/>
    <w:rsid w:val="00265CBA"/>
    <w:rsid w:val="002821EC"/>
    <w:rsid w:val="002A307E"/>
    <w:rsid w:val="002C5536"/>
    <w:rsid w:val="002D2105"/>
    <w:rsid w:val="002D45F3"/>
    <w:rsid w:val="002E2A09"/>
    <w:rsid w:val="002F0783"/>
    <w:rsid w:val="0030202D"/>
    <w:rsid w:val="003103C1"/>
    <w:rsid w:val="0031040F"/>
    <w:rsid w:val="00310A7F"/>
    <w:rsid w:val="00335496"/>
    <w:rsid w:val="003539FC"/>
    <w:rsid w:val="00365AFA"/>
    <w:rsid w:val="00387133"/>
    <w:rsid w:val="0039286C"/>
    <w:rsid w:val="003A3701"/>
    <w:rsid w:val="003C4BE5"/>
    <w:rsid w:val="003D0E2F"/>
    <w:rsid w:val="003D1BF3"/>
    <w:rsid w:val="004547EE"/>
    <w:rsid w:val="00455838"/>
    <w:rsid w:val="00460FAC"/>
    <w:rsid w:val="00465033"/>
    <w:rsid w:val="00470269"/>
    <w:rsid w:val="004C0C55"/>
    <w:rsid w:val="004C5FBC"/>
    <w:rsid w:val="00504F8B"/>
    <w:rsid w:val="00521703"/>
    <w:rsid w:val="0053500C"/>
    <w:rsid w:val="00540F53"/>
    <w:rsid w:val="0057483D"/>
    <w:rsid w:val="005972AE"/>
    <w:rsid w:val="005A02CB"/>
    <w:rsid w:val="005C23A3"/>
    <w:rsid w:val="005C43DF"/>
    <w:rsid w:val="005E0E1F"/>
    <w:rsid w:val="005F5C56"/>
    <w:rsid w:val="00661207"/>
    <w:rsid w:val="00677423"/>
    <w:rsid w:val="00680E17"/>
    <w:rsid w:val="00692C13"/>
    <w:rsid w:val="006A36AC"/>
    <w:rsid w:val="006B2F35"/>
    <w:rsid w:val="006C5CAD"/>
    <w:rsid w:val="006C6B85"/>
    <w:rsid w:val="006C767F"/>
    <w:rsid w:val="006E51C0"/>
    <w:rsid w:val="00711EFA"/>
    <w:rsid w:val="00723BF7"/>
    <w:rsid w:val="0073066D"/>
    <w:rsid w:val="00731D4C"/>
    <w:rsid w:val="00745D45"/>
    <w:rsid w:val="007471C9"/>
    <w:rsid w:val="00774791"/>
    <w:rsid w:val="00784D5C"/>
    <w:rsid w:val="00786028"/>
    <w:rsid w:val="00794D61"/>
    <w:rsid w:val="007C3755"/>
    <w:rsid w:val="007D2BC8"/>
    <w:rsid w:val="007F1A60"/>
    <w:rsid w:val="00804651"/>
    <w:rsid w:val="00832B2A"/>
    <w:rsid w:val="00837830"/>
    <w:rsid w:val="00841615"/>
    <w:rsid w:val="0085406F"/>
    <w:rsid w:val="0086691F"/>
    <w:rsid w:val="008719C0"/>
    <w:rsid w:val="00885C5E"/>
    <w:rsid w:val="00886BF3"/>
    <w:rsid w:val="008A57A9"/>
    <w:rsid w:val="008B2665"/>
    <w:rsid w:val="008C7513"/>
    <w:rsid w:val="008E0ACF"/>
    <w:rsid w:val="008F004B"/>
    <w:rsid w:val="008F44B5"/>
    <w:rsid w:val="00900508"/>
    <w:rsid w:val="009106E6"/>
    <w:rsid w:val="00936184"/>
    <w:rsid w:val="0095112A"/>
    <w:rsid w:val="009D4E90"/>
    <w:rsid w:val="009E6909"/>
    <w:rsid w:val="009F1418"/>
    <w:rsid w:val="00A234BF"/>
    <w:rsid w:val="00A50E71"/>
    <w:rsid w:val="00A64785"/>
    <w:rsid w:val="00A75BB9"/>
    <w:rsid w:val="00A915EA"/>
    <w:rsid w:val="00AA5679"/>
    <w:rsid w:val="00AD2F20"/>
    <w:rsid w:val="00AD4CDB"/>
    <w:rsid w:val="00AE0D34"/>
    <w:rsid w:val="00AE6F99"/>
    <w:rsid w:val="00AF2D96"/>
    <w:rsid w:val="00B10A86"/>
    <w:rsid w:val="00B647F4"/>
    <w:rsid w:val="00B85281"/>
    <w:rsid w:val="00BA70CC"/>
    <w:rsid w:val="00BD069D"/>
    <w:rsid w:val="00BD4A48"/>
    <w:rsid w:val="00BF7B90"/>
    <w:rsid w:val="00C143EB"/>
    <w:rsid w:val="00C30E21"/>
    <w:rsid w:val="00CA3663"/>
    <w:rsid w:val="00CC443F"/>
    <w:rsid w:val="00CD4469"/>
    <w:rsid w:val="00CF12DF"/>
    <w:rsid w:val="00D12D05"/>
    <w:rsid w:val="00D27289"/>
    <w:rsid w:val="00D8347C"/>
    <w:rsid w:val="00D9127E"/>
    <w:rsid w:val="00D95F85"/>
    <w:rsid w:val="00DB120A"/>
    <w:rsid w:val="00DB51AB"/>
    <w:rsid w:val="00DC3209"/>
    <w:rsid w:val="00DC7469"/>
    <w:rsid w:val="00DD0D46"/>
    <w:rsid w:val="00DD29A6"/>
    <w:rsid w:val="00DF07D8"/>
    <w:rsid w:val="00DF67E5"/>
    <w:rsid w:val="00E04624"/>
    <w:rsid w:val="00E24535"/>
    <w:rsid w:val="00E34E53"/>
    <w:rsid w:val="00E47A39"/>
    <w:rsid w:val="00E546B9"/>
    <w:rsid w:val="00E71AB9"/>
    <w:rsid w:val="00E85A0E"/>
    <w:rsid w:val="00EC396D"/>
    <w:rsid w:val="00EF0F70"/>
    <w:rsid w:val="00F10BD3"/>
    <w:rsid w:val="00F15285"/>
    <w:rsid w:val="00F23F54"/>
    <w:rsid w:val="00F52ABD"/>
    <w:rsid w:val="00F90C83"/>
    <w:rsid w:val="00FA324D"/>
    <w:rsid w:val="00FD02FB"/>
    <w:rsid w:val="00FD561B"/>
    <w:rsid w:val="00FF1E97"/>
    <w:rsid w:val="04904D4B"/>
    <w:rsid w:val="3AD153F6"/>
    <w:rsid w:val="4A151402"/>
    <w:rsid w:val="618510D9"/>
    <w:rsid w:val="716045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540" w:lineRule="atLeast"/>
    </w:pPr>
    <w:rPr>
      <w:rFonts w:ascii="Times New Roman" w:hAnsi="Times New Roman" w:eastAsia="仿宋_GB2312" w:cs="Times New Roman"/>
      <w:kern w:val="2"/>
      <w:sz w:val="32"/>
      <w:szCs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2"/>
    <w:semiHidden/>
    <w:unhideWhenUsed/>
    <w:qFormat/>
    <w:uiPriority w:val="99"/>
  </w:style>
  <w:style w:type="paragraph" w:styleId="3">
    <w:name w:val="Body Text"/>
    <w:basedOn w:val="1"/>
    <w:link w:val="17"/>
    <w:qFormat/>
    <w:uiPriority w:val="0"/>
    <w:pPr>
      <w:spacing w:line="500" w:lineRule="atLeast"/>
    </w:pPr>
    <w:rPr>
      <w:rFonts w:ascii="宋体"/>
      <w:bCs/>
      <w:sz w:val="28"/>
    </w:rPr>
  </w:style>
  <w:style w:type="paragraph" w:styleId="4">
    <w:name w:val="Body Text Indent"/>
    <w:basedOn w:val="1"/>
    <w:link w:val="16"/>
    <w:qFormat/>
    <w:uiPriority w:val="0"/>
    <w:pPr>
      <w:spacing w:line="460" w:lineRule="atLeast"/>
      <w:ind w:firstLine="461" w:firstLineChars="192"/>
    </w:pPr>
    <w:rPr>
      <w:sz w:val="24"/>
    </w:r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pPr>
    <w:rPr>
      <w:rFonts w:ascii="Calibri" w:hAnsi="Calibri" w:eastAsia="宋体"/>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jc w:val="center"/>
    </w:pPr>
    <w:rPr>
      <w:rFonts w:ascii="Calibri" w:hAnsi="Calibri" w:eastAsia="宋体"/>
      <w:sz w:val="18"/>
      <w:szCs w:val="18"/>
    </w:rPr>
  </w:style>
  <w:style w:type="paragraph" w:styleId="8">
    <w:name w:val="HTML Preformatted"/>
    <w:basedOn w:val="1"/>
    <w:link w:val="2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line="240" w:lineRule="auto"/>
    </w:pPr>
    <w:rPr>
      <w:rFonts w:ascii="宋体" w:hAnsi="宋体" w:eastAsia="宋体" w:cs="宋体"/>
      <w:kern w:val="0"/>
      <w:sz w:val="24"/>
      <w:szCs w:val="24"/>
    </w:rPr>
  </w:style>
  <w:style w:type="paragraph" w:styleId="9">
    <w:name w:val="annotation subject"/>
    <w:basedOn w:val="2"/>
    <w:next w:val="2"/>
    <w:link w:val="23"/>
    <w:semiHidden/>
    <w:unhideWhenUsed/>
    <w:qFormat/>
    <w:uiPriority w:val="99"/>
    <w:rPr>
      <w:b/>
      <w:bCs/>
    </w:rPr>
  </w:style>
  <w:style w:type="character" w:styleId="12">
    <w:name w:val="line number"/>
    <w:basedOn w:val="11"/>
    <w:semiHidden/>
    <w:unhideWhenUsed/>
    <w:qFormat/>
    <w:uiPriority w:val="99"/>
  </w:style>
  <w:style w:type="character" w:styleId="13">
    <w:name w:val="annotation reference"/>
    <w:basedOn w:val="11"/>
    <w:semiHidden/>
    <w:unhideWhenUsed/>
    <w:qFormat/>
    <w:uiPriority w:val="99"/>
    <w:rPr>
      <w:sz w:val="21"/>
      <w:szCs w:val="21"/>
    </w:rPr>
  </w:style>
  <w:style w:type="character" w:customStyle="1" w:styleId="14">
    <w:name w:val="页眉 字符"/>
    <w:link w:val="7"/>
    <w:qFormat/>
    <w:uiPriority w:val="99"/>
    <w:rPr>
      <w:sz w:val="18"/>
      <w:szCs w:val="18"/>
    </w:rPr>
  </w:style>
  <w:style w:type="character" w:customStyle="1" w:styleId="15">
    <w:name w:val="页脚 字符"/>
    <w:link w:val="6"/>
    <w:qFormat/>
    <w:uiPriority w:val="99"/>
    <w:rPr>
      <w:sz w:val="18"/>
      <w:szCs w:val="18"/>
    </w:rPr>
  </w:style>
  <w:style w:type="character" w:customStyle="1" w:styleId="16">
    <w:name w:val="正文文本缩进 字符"/>
    <w:link w:val="4"/>
    <w:qFormat/>
    <w:uiPriority w:val="0"/>
    <w:rPr>
      <w:rFonts w:ascii="Times New Roman" w:hAnsi="Times New Roman" w:eastAsia="宋体" w:cs="Times New Roman"/>
      <w:sz w:val="24"/>
      <w:szCs w:val="24"/>
    </w:rPr>
  </w:style>
  <w:style w:type="character" w:customStyle="1" w:styleId="17">
    <w:name w:val="正文文本 字符"/>
    <w:link w:val="3"/>
    <w:qFormat/>
    <w:uiPriority w:val="0"/>
    <w:rPr>
      <w:rFonts w:ascii="宋体" w:hAnsi="Times New Roman" w:eastAsia="宋体" w:cs="Times New Roman"/>
      <w:bCs/>
      <w:sz w:val="28"/>
      <w:szCs w:val="24"/>
    </w:rPr>
  </w:style>
  <w:style w:type="character" w:customStyle="1" w:styleId="18">
    <w:name w:val="批注框文本 字符"/>
    <w:link w:val="5"/>
    <w:semiHidden/>
    <w:qFormat/>
    <w:uiPriority w:val="99"/>
    <w:rPr>
      <w:rFonts w:ascii="Times New Roman" w:hAnsi="Times New Roman" w:eastAsia="宋体" w:cs="Times New Roman"/>
      <w:sz w:val="18"/>
      <w:szCs w:val="18"/>
    </w:rPr>
  </w:style>
  <w:style w:type="paragraph" w:styleId="19">
    <w:name w:val="List Paragraph"/>
    <w:basedOn w:val="1"/>
    <w:qFormat/>
    <w:uiPriority w:val="34"/>
    <w:pPr>
      <w:ind w:firstLine="420" w:firstLineChars="200"/>
    </w:pPr>
    <w:rPr>
      <w:rFonts w:ascii="Calibri" w:hAnsi="Calibri" w:eastAsia="宋体"/>
      <w:sz w:val="21"/>
      <w:szCs w:val="22"/>
    </w:rPr>
  </w:style>
  <w:style w:type="paragraph" w:customStyle="1" w:styleId="20">
    <w:name w:val="正文1"/>
    <w:qFormat/>
    <w:uiPriority w:val="0"/>
    <w:pPr>
      <w:jc w:val="both"/>
    </w:pPr>
    <w:rPr>
      <w:rFonts w:ascii="Calibri" w:hAnsi="Calibri" w:eastAsia="宋体" w:cs="Calibri"/>
      <w:kern w:val="2"/>
      <w:sz w:val="21"/>
      <w:szCs w:val="21"/>
      <w:lang w:val="en-US" w:eastAsia="zh-CN" w:bidi="ar-SA"/>
    </w:rPr>
  </w:style>
  <w:style w:type="character" w:customStyle="1" w:styleId="21">
    <w:name w:val="HTML 预设格式 字符"/>
    <w:basedOn w:val="11"/>
    <w:link w:val="8"/>
    <w:qFormat/>
    <w:uiPriority w:val="99"/>
    <w:rPr>
      <w:rFonts w:ascii="宋体" w:hAnsi="宋体" w:cs="宋体"/>
      <w:sz w:val="24"/>
      <w:szCs w:val="24"/>
    </w:rPr>
  </w:style>
  <w:style w:type="character" w:customStyle="1" w:styleId="22">
    <w:name w:val="批注文字 字符"/>
    <w:basedOn w:val="11"/>
    <w:link w:val="2"/>
    <w:semiHidden/>
    <w:qFormat/>
    <w:uiPriority w:val="99"/>
    <w:rPr>
      <w:rFonts w:ascii="Times New Roman" w:hAnsi="Times New Roman" w:eastAsia="仿宋_GB2312"/>
      <w:kern w:val="2"/>
      <w:sz w:val="32"/>
      <w:szCs w:val="21"/>
    </w:rPr>
  </w:style>
  <w:style w:type="character" w:customStyle="1" w:styleId="23">
    <w:name w:val="批注主题 字符"/>
    <w:basedOn w:val="22"/>
    <w:link w:val="9"/>
    <w:semiHidden/>
    <w:qFormat/>
    <w:uiPriority w:val="99"/>
    <w:rPr>
      <w:rFonts w:ascii="Times New Roman" w:hAnsi="Times New Roman" w:eastAsia="仿宋_GB2312"/>
      <w:b/>
      <w:bCs/>
      <w:kern w:val="2"/>
      <w:sz w:val="32"/>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ngnan\Desktop\&#34892;&#25919;&#20107;&#21153;\0.&#20844;&#25991;&#25991;&#21495;\&#20844;&#20989;&#21450;&#21457;&#25991;&#27169;&#26495;\&#20844;&#20989;&#21450;&#20844;&#25991;&#27169;&#26495;\&#23725;&#21335;&#23398;&#38498;&#19979;&#34892;&#25991;&#27169;&#26495;&#65288;&#29256;&#35760;&#26377;&#21457;&#25918;&#21333;&#20301;&#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A4C294-CCD6-444F-9952-9F824AE2A162}">
  <ds:schemaRefs/>
</ds:datastoreItem>
</file>

<file path=docProps/app.xml><?xml version="1.0" encoding="utf-8"?>
<Properties xmlns="http://schemas.openxmlformats.org/officeDocument/2006/extended-properties" xmlns:vt="http://schemas.openxmlformats.org/officeDocument/2006/docPropsVTypes">
  <Template>岭南学院下行文模板（版记有发放单位）.dotx</Template>
  <Company>SYSU</Company>
  <Pages>4</Pages>
  <Words>1133</Words>
  <Characters>1158</Characters>
  <Lines>8</Lines>
  <Paragraphs>2</Paragraphs>
  <TotalTime>19</TotalTime>
  <ScaleCrop>false</ScaleCrop>
  <LinksUpToDate>false</LinksUpToDate>
  <CharactersWithSpaces>1185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2025-03-26T02:52:00Z</dcterms:created>
  <dc:creator>Lingnan</dc:creator>
  <cp:lastModifiedBy>WPS_1686728193</cp:lastModifiedBy>
  <cp:lastPrinted>2016-10-24T07:10:00Z</cp:lastPrinted>
  <dcterms:modified xsi:type="dcterms:W3CDTF">2025-08-21T00:44:41Z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209DEF706BA345DDB0FD9A55AEA0A077_13</vt:lpwstr>
  </property>
  <property fmtid="{D5CDD505-2E9C-101B-9397-08002B2CF9AE}" pid="3" name="KSOProductBuildVer">
    <vt:lpwstr>2052-12.1.0.22529</vt:lpwstr>
  </property>
  <property fmtid="{D5CDD505-2E9C-101B-9397-08002B2CF9AE}" pid="4" name="KSOTemplateDocerSaveRecord">
    <vt:lpwstr>eyJoZGlkIjoiODI1MGM4NzY3MTQyZmI5ZTlkY2JmZmFiM2E3ZjJiZmYiLCJ1c2VySWQiOiIxNTA1MDQxNTA1In0=</vt:lpwstr>
  </property>
</Properties>
</file>